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5728" w14:textId="77777777" w:rsidR="00C31D20" w:rsidRDefault="00547CFC">
      <w:r>
        <w:rPr>
          <w:noProof/>
        </w:rPr>
        <w:drawing>
          <wp:anchor distT="0" distB="0" distL="114300" distR="114300" simplePos="0" relativeHeight="251659264" behindDoc="0" locked="0" layoutInCell="1" allowOverlap="1" wp14:anchorId="40DD81EC" wp14:editId="0CCE1361">
            <wp:simplePos x="0" y="0"/>
            <wp:positionH relativeFrom="column">
              <wp:posOffset>2872740</wp:posOffset>
            </wp:positionH>
            <wp:positionV relativeFrom="page">
              <wp:posOffset>257175</wp:posOffset>
            </wp:positionV>
            <wp:extent cx="3289935" cy="2257425"/>
            <wp:effectExtent l="0" t="0" r="0" b="9525"/>
            <wp:wrapNone/>
            <wp:docPr id="1" name="Imagen 1" descr="C:\Users\Lenovo\Downloads\Congreso Topícos Selectos de Neurocirugia.pptx_20250826_150521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Congreso Topícos Selectos de Neurocirugia.pptx_20250826_150521_000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28802" t="9536" r="20167" b="43778"/>
                    <a:stretch/>
                  </pic:blipFill>
                  <pic:spPr bwMode="auto">
                    <a:xfrm>
                      <a:off x="0" y="0"/>
                      <a:ext cx="3316753" cy="22758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815E52" w14:textId="77777777" w:rsidR="00C31D20" w:rsidRPr="00C31D20" w:rsidRDefault="00C31D20" w:rsidP="00C31D20"/>
    <w:p w14:paraId="370C1986" w14:textId="77777777" w:rsidR="00C31D20" w:rsidRPr="00C31D20" w:rsidRDefault="00C31D20" w:rsidP="00C31D20"/>
    <w:p w14:paraId="663C0A2F" w14:textId="77777777" w:rsidR="00C31D20" w:rsidRPr="00C31D20" w:rsidRDefault="00C31D20" w:rsidP="00C31D20"/>
    <w:p w14:paraId="285FAB7B" w14:textId="77777777" w:rsidR="00C31D20" w:rsidRPr="00C31D20" w:rsidRDefault="00C31D20" w:rsidP="00C31D20"/>
    <w:p w14:paraId="79425191" w14:textId="77777777" w:rsidR="00C31D20" w:rsidRPr="00C31D20" w:rsidRDefault="00C31D20" w:rsidP="00C31D20"/>
    <w:p w14:paraId="00401740" w14:textId="77777777" w:rsidR="00C31D20" w:rsidRPr="00B67CF1" w:rsidRDefault="00547CFC" w:rsidP="00C4601D">
      <w:pPr>
        <w:spacing w:after="0"/>
        <w:rPr>
          <w:rFonts w:ascii="Franklin Gothic Demi Cond" w:hAnsi="Franklin Gothic Demi Cond"/>
          <w:color w:val="385623" w:themeColor="accent6" w:themeShade="80"/>
          <w:sz w:val="28"/>
          <w:szCs w:val="28"/>
        </w:rPr>
      </w:pPr>
      <w:r>
        <w:rPr>
          <w:rFonts w:ascii="Franklin Gothic Demi Cond" w:hAnsi="Franklin Gothic Demi Cond"/>
          <w:color w:val="385623" w:themeColor="accent6" w:themeShade="80"/>
          <w:sz w:val="28"/>
          <w:szCs w:val="28"/>
        </w:rPr>
        <w:t>SEXTO</w:t>
      </w:r>
      <w:r w:rsidR="00B67CF1">
        <w:rPr>
          <w:rFonts w:ascii="Franklin Gothic Demi Cond" w:hAnsi="Franklin Gothic Demi Cond"/>
          <w:color w:val="385623" w:themeColor="accent6" w:themeShade="80"/>
          <w:sz w:val="28"/>
          <w:szCs w:val="28"/>
        </w:rPr>
        <w:t xml:space="preserve"> CONGRESO NACIONAL</w:t>
      </w:r>
    </w:p>
    <w:p w14:paraId="35C89132" w14:textId="77777777" w:rsidR="00C31D20" w:rsidRPr="00B67CF1" w:rsidRDefault="00C31D20" w:rsidP="0096177E">
      <w:pPr>
        <w:spacing w:after="0"/>
        <w:rPr>
          <w:rFonts w:ascii="Franklin Gothic Demi Cond" w:hAnsi="Franklin Gothic Demi Cond"/>
          <w:color w:val="385623" w:themeColor="accent6" w:themeShade="80"/>
          <w:sz w:val="28"/>
          <w:szCs w:val="28"/>
        </w:rPr>
      </w:pPr>
      <w:r w:rsidRPr="00B67CF1">
        <w:rPr>
          <w:rFonts w:ascii="Franklin Gothic Demi Cond" w:hAnsi="Franklin Gothic Demi Cond"/>
          <w:color w:val="385623" w:themeColor="accent6" w:themeShade="80"/>
          <w:sz w:val="28"/>
          <w:szCs w:val="28"/>
        </w:rPr>
        <w:t xml:space="preserve"> “TÓPICOS SELECTOS DE NEUROCIRUGÍA”</w:t>
      </w:r>
      <w:r w:rsidR="00B67CF1">
        <w:rPr>
          <w:rFonts w:ascii="Franklin Gothic Demi Cond" w:hAnsi="Franklin Gothic Demi Cond"/>
          <w:color w:val="385623" w:themeColor="accent6" w:themeShade="80"/>
          <w:sz w:val="28"/>
          <w:szCs w:val="28"/>
        </w:rPr>
        <w:t xml:space="preserve"> </w:t>
      </w:r>
      <w:r w:rsidR="00547CFC">
        <w:rPr>
          <w:rFonts w:ascii="Franklin Gothic Demi Cond" w:hAnsi="Franklin Gothic Demi Cond"/>
          <w:color w:val="385623" w:themeColor="accent6" w:themeShade="80"/>
          <w:sz w:val="32"/>
          <w:szCs w:val="32"/>
        </w:rPr>
        <w:t>2026</w:t>
      </w:r>
    </w:p>
    <w:p w14:paraId="6A7705AD" w14:textId="77777777" w:rsidR="0096177E" w:rsidRDefault="0096177E" w:rsidP="00C31D20">
      <w:pPr>
        <w:rPr>
          <w:rFonts w:ascii="Franklin Gothic Demi Cond" w:hAnsi="Franklin Gothic Demi Cond"/>
        </w:rPr>
      </w:pPr>
    </w:p>
    <w:p w14:paraId="7321B641" w14:textId="77777777" w:rsidR="00C31D20" w:rsidRPr="00B67CF1" w:rsidRDefault="00C31D20" w:rsidP="0096177E">
      <w:pPr>
        <w:spacing w:after="0"/>
        <w:rPr>
          <w:rFonts w:ascii="Franklin Gothic Demi Cond" w:hAnsi="Franklin Gothic Demi Cond"/>
          <w:sz w:val="24"/>
          <w:szCs w:val="24"/>
        </w:rPr>
      </w:pPr>
      <w:r w:rsidRPr="00B67CF1">
        <w:rPr>
          <w:rFonts w:ascii="Franklin Gothic Demi Cond" w:hAnsi="Franklin Gothic Demi Cond"/>
          <w:sz w:val="24"/>
          <w:szCs w:val="24"/>
        </w:rPr>
        <w:t>Acapulco, Guerrero.</w:t>
      </w:r>
    </w:p>
    <w:p w14:paraId="6F59D7D8" w14:textId="77777777" w:rsidR="00C31D20" w:rsidRPr="0096177E" w:rsidRDefault="00547CFC" w:rsidP="0096177E">
      <w:pPr>
        <w:spacing w:after="0"/>
        <w:rPr>
          <w:rFonts w:ascii="Franklin Gothic Demi Cond" w:hAnsi="Franklin Gothic Demi Cond"/>
        </w:rPr>
      </w:pPr>
      <w:r>
        <w:rPr>
          <w:rFonts w:ascii="Franklin Gothic Demi Cond" w:hAnsi="Franklin Gothic Demi Cond"/>
        </w:rPr>
        <w:t>21, 22 y 23 de mayo 2026</w:t>
      </w:r>
    </w:p>
    <w:p w14:paraId="64BA5973" w14:textId="77777777" w:rsidR="00C31D20" w:rsidRDefault="00C31D20" w:rsidP="00C31D20">
      <w:pPr>
        <w:tabs>
          <w:tab w:val="left" w:pos="1140"/>
        </w:tabs>
      </w:pPr>
      <w:r>
        <w:tab/>
      </w:r>
    </w:p>
    <w:p w14:paraId="5C0684D7" w14:textId="77777777" w:rsidR="00C31D20" w:rsidRPr="00B67CF1" w:rsidRDefault="00C31D20" w:rsidP="00C31D20">
      <w:pPr>
        <w:pStyle w:val="Prrafodelista"/>
        <w:numPr>
          <w:ilvl w:val="0"/>
          <w:numId w:val="1"/>
        </w:numPr>
        <w:jc w:val="center"/>
        <w:rPr>
          <w:b/>
          <w:bCs/>
          <w:szCs w:val="28"/>
        </w:rPr>
      </w:pPr>
      <w:r w:rsidRPr="00B67CF1">
        <w:rPr>
          <w:b/>
          <w:bCs/>
        </w:rPr>
        <w:t xml:space="preserve">Favor de enviar el formulario con los datos </w:t>
      </w:r>
      <w:r w:rsidR="0096177E" w:rsidRPr="00B67CF1">
        <w:rPr>
          <w:b/>
          <w:bCs/>
        </w:rPr>
        <w:t>solicitados</w:t>
      </w:r>
      <w:r w:rsidRPr="00B67CF1">
        <w:rPr>
          <w:b/>
          <w:bCs/>
        </w:rPr>
        <w:t>. En formato Word</w:t>
      </w:r>
      <w:r w:rsidR="00B67CF1">
        <w:rPr>
          <w:b/>
          <w:bCs/>
        </w:rPr>
        <w:t>.</w:t>
      </w:r>
    </w:p>
    <w:p w14:paraId="012313CF" w14:textId="77777777" w:rsidR="00B67CF1" w:rsidRPr="00B67CF1" w:rsidRDefault="00B67CF1" w:rsidP="00C31D20">
      <w:pPr>
        <w:pStyle w:val="Prrafodelista"/>
        <w:numPr>
          <w:ilvl w:val="0"/>
          <w:numId w:val="1"/>
        </w:numPr>
        <w:jc w:val="center"/>
        <w:rPr>
          <w:b/>
          <w:bCs/>
          <w:szCs w:val="28"/>
        </w:rPr>
      </w:pPr>
      <w:r w:rsidRPr="00B67CF1">
        <w:rPr>
          <w:b/>
          <w:bCs/>
        </w:rPr>
        <w:t>No olvide adjuntar</w:t>
      </w:r>
      <w:r>
        <w:rPr>
          <w:b/>
          <w:bCs/>
        </w:rPr>
        <w:t xml:space="preserve"> el diseño</w:t>
      </w:r>
      <w:r w:rsidR="004C2BFB">
        <w:rPr>
          <w:b/>
          <w:bCs/>
        </w:rPr>
        <w:t xml:space="preserve"> final</w:t>
      </w:r>
      <w:r>
        <w:rPr>
          <w:b/>
          <w:bCs/>
        </w:rPr>
        <w:t xml:space="preserve"> de</w:t>
      </w:r>
      <w:r w:rsidRPr="00B67CF1">
        <w:rPr>
          <w:b/>
          <w:bCs/>
        </w:rPr>
        <w:t xml:space="preserve"> su Cartel</w:t>
      </w:r>
      <w:r>
        <w:rPr>
          <w:b/>
          <w:bCs/>
        </w:rPr>
        <w:t xml:space="preserve"> </w:t>
      </w:r>
      <w:r w:rsidRPr="00B67CF1">
        <w:rPr>
          <w:b/>
          <w:bCs/>
        </w:rPr>
        <w:t>como ser</w:t>
      </w:r>
      <w:r w:rsidR="004C2BFB">
        <w:rPr>
          <w:b/>
          <w:bCs/>
        </w:rPr>
        <w:t>á</w:t>
      </w:r>
      <w:r w:rsidRPr="00B67CF1">
        <w:rPr>
          <w:b/>
          <w:bCs/>
        </w:rPr>
        <w:t xml:space="preserve"> presentado </w:t>
      </w:r>
      <w:r>
        <w:rPr>
          <w:b/>
          <w:bCs/>
        </w:rPr>
        <w:t xml:space="preserve">en el concurso, </w:t>
      </w:r>
      <w:r w:rsidRPr="00B67CF1">
        <w:rPr>
          <w:b/>
          <w:bCs/>
        </w:rPr>
        <w:t>en formato PDF.</w:t>
      </w:r>
    </w:p>
    <w:p w14:paraId="39BBAEA9" w14:textId="77777777" w:rsidR="00C31D20" w:rsidRDefault="00495A1B" w:rsidP="00C31D20">
      <w:pPr>
        <w:jc w:val="center"/>
        <w:rPr>
          <w:b/>
          <w:sz w:val="28"/>
          <w:szCs w:val="28"/>
        </w:rPr>
      </w:pPr>
      <w:hyperlink r:id="rId6" w:history="1">
        <w:r w:rsidRPr="009A21EC">
          <w:rPr>
            <w:rStyle w:val="Hipervnculo"/>
          </w:rPr>
          <w:t>c.topicoselectosneurocirugia@gmail.com</w:t>
        </w:r>
      </w:hyperlink>
      <w:r>
        <w:t xml:space="preserve">  </w:t>
      </w:r>
    </w:p>
    <w:p w14:paraId="702867A7" w14:textId="77777777" w:rsidR="00C31D20" w:rsidRPr="00EA7161" w:rsidRDefault="00C31D20" w:rsidP="00C31D20">
      <w:pPr>
        <w:spacing w:after="120"/>
        <w:jc w:val="center"/>
        <w:rPr>
          <w:b/>
        </w:rPr>
      </w:pPr>
      <w:r w:rsidRPr="00EA7161">
        <w:rPr>
          <w:b/>
        </w:rPr>
        <w:t>NOMBRES COMPLETOS DE TODOS LOS AUTORES DEL TRABAJO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31D20" w:rsidRPr="00A92000" w14:paraId="5883F6BF" w14:textId="77777777" w:rsidTr="007D153E">
        <w:tc>
          <w:tcPr>
            <w:tcW w:w="10222" w:type="dxa"/>
          </w:tcPr>
          <w:p w14:paraId="591D6A4D" w14:textId="453075D7" w:rsidR="00C31D20" w:rsidRPr="00C31D20" w:rsidRDefault="002B1AD6" w:rsidP="00C31D20">
            <w:pPr>
              <w:jc w:val="center"/>
              <w:rPr>
                <w:rFonts w:ascii="Times New Roman" w:hAnsi="Times New Roman"/>
                <w:sz w:val="18"/>
                <w:szCs w:val="18"/>
              </w:rPr>
            </w:pPr>
            <w:r>
              <w:rPr>
                <w:rFonts w:ascii="Times New Roman" w:hAnsi="Times New Roman"/>
                <w:b/>
                <w:sz w:val="18"/>
                <w:szCs w:val="18"/>
                <w:u w:val="single"/>
              </w:rPr>
              <w:t xml:space="preserve">SÓSTENES DOMÍNGUEZ SANDRA </w:t>
            </w:r>
            <w:r w:rsidR="00C31D20">
              <w:rPr>
                <w:rFonts w:ascii="Times New Roman" w:hAnsi="Times New Roman"/>
                <w:sz w:val="18"/>
                <w:szCs w:val="18"/>
              </w:rPr>
              <w:t xml:space="preserve">Y </w:t>
            </w:r>
            <w:r>
              <w:rPr>
                <w:rFonts w:ascii="Times New Roman" w:hAnsi="Times New Roman"/>
                <w:sz w:val="18"/>
                <w:szCs w:val="18"/>
              </w:rPr>
              <w:t xml:space="preserve">ALANIS MENDOZA SERGIO IVAN, CORDERO PEREZ GABRIELA ALEJANDRA </w:t>
            </w:r>
          </w:p>
        </w:tc>
      </w:tr>
    </w:tbl>
    <w:p w14:paraId="599DD101" w14:textId="77777777" w:rsidR="00C31D20" w:rsidRPr="00477C28" w:rsidRDefault="00C31D20" w:rsidP="00C31D20">
      <w:pPr>
        <w:jc w:val="both"/>
        <w:rPr>
          <w:sz w:val="16"/>
          <w:szCs w:val="16"/>
        </w:rPr>
      </w:pPr>
      <w:r w:rsidRPr="00477C28">
        <w:rPr>
          <w:sz w:val="16"/>
          <w:szCs w:val="16"/>
        </w:rPr>
        <w:t>Con el propósito de contar con la información correcta para elaborar las constancias, escriba por favor los nombres completos de todos los autores del trabajo [nombre(s) y apellidos paterno y materno, separados</w:t>
      </w:r>
      <w:r>
        <w:rPr>
          <w:sz w:val="16"/>
          <w:szCs w:val="16"/>
        </w:rPr>
        <w:t xml:space="preserve"> cada uno de los autores</w:t>
      </w:r>
      <w:r w:rsidRPr="00477C28">
        <w:rPr>
          <w:sz w:val="16"/>
          <w:szCs w:val="16"/>
        </w:rPr>
        <w:t xml:space="preserve"> </w:t>
      </w:r>
      <w:r>
        <w:rPr>
          <w:sz w:val="16"/>
          <w:szCs w:val="16"/>
        </w:rPr>
        <w:t>con</w:t>
      </w:r>
      <w:r w:rsidRPr="00477C28">
        <w:rPr>
          <w:sz w:val="16"/>
          <w:szCs w:val="16"/>
        </w:rPr>
        <w:t xml:space="preserve"> una coma].</w:t>
      </w:r>
    </w:p>
    <w:p w14:paraId="1668087B" w14:textId="77777777" w:rsidR="00C31D20" w:rsidRDefault="00C31D20" w:rsidP="00C31D20">
      <w:pPr>
        <w:spacing w:after="120"/>
        <w:jc w:val="center"/>
        <w:rPr>
          <w:b/>
        </w:rPr>
      </w:pPr>
    </w:p>
    <w:p w14:paraId="301A067D" w14:textId="77777777" w:rsidR="00C31D20" w:rsidRPr="00EA7161" w:rsidRDefault="00C31D20" w:rsidP="00C31D20">
      <w:pPr>
        <w:spacing w:after="120"/>
        <w:jc w:val="center"/>
        <w:rPr>
          <w:b/>
        </w:rPr>
      </w:pPr>
      <w:r w:rsidRPr="00EA7161">
        <w:rPr>
          <w:b/>
        </w:rPr>
        <w:t>INSTITUCIÓN DE ADSCRIPCIÓN DE LOS AUTORES DEL TRABAJO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C31D20" w:rsidRPr="000147D3" w14:paraId="19E3876D" w14:textId="77777777" w:rsidTr="007D153E">
        <w:tc>
          <w:tcPr>
            <w:tcW w:w="10222" w:type="dxa"/>
          </w:tcPr>
          <w:p w14:paraId="7177BEE7" w14:textId="0E33C367" w:rsidR="00C31D20" w:rsidRPr="000147D3" w:rsidRDefault="0075650B" w:rsidP="007D153E">
            <w:pPr>
              <w:spacing w:before="60" w:after="60"/>
              <w:jc w:val="both"/>
            </w:pPr>
            <w:r>
              <w:t>IMSS BIENESTAR</w:t>
            </w:r>
          </w:p>
        </w:tc>
      </w:tr>
    </w:tbl>
    <w:p w14:paraId="48CF1C77" w14:textId="77777777" w:rsidR="00C31D20" w:rsidRDefault="00C31D20" w:rsidP="00C31D20">
      <w:pPr>
        <w:spacing w:after="120"/>
        <w:jc w:val="center"/>
        <w:rPr>
          <w:b/>
        </w:rPr>
      </w:pPr>
    </w:p>
    <w:p w14:paraId="4C83E017" w14:textId="77777777" w:rsidR="00C31D20" w:rsidRPr="00EA7161" w:rsidRDefault="00C31D20" w:rsidP="00C31D20">
      <w:pPr>
        <w:spacing w:after="120"/>
        <w:jc w:val="center"/>
        <w:rPr>
          <w:b/>
        </w:rPr>
      </w:pPr>
      <w:r>
        <w:rPr>
          <w:b/>
        </w:rPr>
        <w:t>TRABAJO QUE SERÁ PRESENTADO POR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1644"/>
        <w:gridCol w:w="1151"/>
        <w:gridCol w:w="2814"/>
      </w:tblGrid>
      <w:tr w:rsidR="0096177E" w:rsidRPr="00A92000" w14:paraId="1CB5908A" w14:textId="77777777" w:rsidTr="007D153E">
        <w:tc>
          <w:tcPr>
            <w:tcW w:w="5353" w:type="dxa"/>
            <w:gridSpan w:val="2"/>
          </w:tcPr>
          <w:p w14:paraId="730EB3E4" w14:textId="77777777" w:rsidR="002B1AD6" w:rsidRDefault="00C31D20" w:rsidP="0096177E">
            <w:pPr>
              <w:spacing w:before="60" w:after="60"/>
              <w:jc w:val="both"/>
            </w:pPr>
            <w:r>
              <w:t xml:space="preserve">APELLIDOS: </w:t>
            </w:r>
          </w:p>
          <w:p w14:paraId="2E0509CE" w14:textId="68D37861" w:rsidR="002B1AD6" w:rsidRDefault="002B1AD6" w:rsidP="0096177E">
            <w:pPr>
              <w:spacing w:before="60" w:after="60"/>
              <w:jc w:val="both"/>
            </w:pPr>
            <w:r>
              <w:t xml:space="preserve">SÓSTENES DOMINGUEZ </w:t>
            </w:r>
          </w:p>
          <w:p w14:paraId="7073E174" w14:textId="5547BD6A" w:rsidR="00C31D20" w:rsidRDefault="002B1AD6" w:rsidP="0096177E">
            <w:pPr>
              <w:spacing w:before="60" w:after="60"/>
              <w:jc w:val="both"/>
            </w:pPr>
            <w:r>
              <w:t xml:space="preserve">ALANIS  MENDOZA </w:t>
            </w:r>
          </w:p>
          <w:p w14:paraId="7A38AA8B" w14:textId="00C04FED" w:rsidR="002B1AD6" w:rsidRDefault="002B1AD6" w:rsidP="0096177E">
            <w:pPr>
              <w:spacing w:before="60" w:after="60"/>
              <w:jc w:val="both"/>
            </w:pPr>
            <w:r w:rsidRPr="002B1AD6">
              <w:t xml:space="preserve">CORDERO PEREZ </w:t>
            </w:r>
          </w:p>
        </w:tc>
        <w:tc>
          <w:tcPr>
            <w:tcW w:w="4869" w:type="dxa"/>
            <w:gridSpan w:val="2"/>
          </w:tcPr>
          <w:p w14:paraId="481151C9" w14:textId="77777777" w:rsidR="002B1AD6" w:rsidRDefault="00C31D20" w:rsidP="0096177E">
            <w:pPr>
              <w:spacing w:before="60" w:after="60"/>
              <w:jc w:val="both"/>
            </w:pPr>
            <w:r>
              <w:t xml:space="preserve">NOMBRE (S): </w:t>
            </w:r>
          </w:p>
          <w:p w14:paraId="6F305F92" w14:textId="77777777" w:rsidR="002B1AD6" w:rsidRDefault="002B1AD6" w:rsidP="0096177E">
            <w:pPr>
              <w:spacing w:before="60" w:after="60"/>
              <w:jc w:val="both"/>
            </w:pPr>
            <w:r>
              <w:t xml:space="preserve">SANDRA </w:t>
            </w:r>
          </w:p>
          <w:p w14:paraId="53DBA946" w14:textId="77777777" w:rsidR="002B1AD6" w:rsidRDefault="002B1AD6" w:rsidP="0096177E">
            <w:pPr>
              <w:spacing w:before="60" w:after="60"/>
              <w:jc w:val="both"/>
            </w:pPr>
            <w:r>
              <w:t>SERGIO IVAN</w:t>
            </w:r>
            <w:r w:rsidRPr="002B1AD6">
              <w:t xml:space="preserve"> </w:t>
            </w:r>
          </w:p>
          <w:p w14:paraId="6AF38EAE" w14:textId="45471ACB" w:rsidR="00C31D20" w:rsidRDefault="002B1AD6" w:rsidP="0096177E">
            <w:pPr>
              <w:spacing w:before="60" w:after="60"/>
              <w:jc w:val="both"/>
            </w:pPr>
            <w:r w:rsidRPr="002B1AD6">
              <w:t>GABRIELA ALEJANDRA</w:t>
            </w:r>
          </w:p>
        </w:tc>
      </w:tr>
      <w:tr w:rsidR="002B1AD6" w:rsidRPr="00A92000" w14:paraId="64C24602" w14:textId="77777777" w:rsidTr="007D153E">
        <w:tc>
          <w:tcPr>
            <w:tcW w:w="3407" w:type="dxa"/>
          </w:tcPr>
          <w:p w14:paraId="04426E89" w14:textId="77777777" w:rsidR="00C31D20" w:rsidRPr="0075650B" w:rsidRDefault="0096177E" w:rsidP="007D153E">
            <w:pPr>
              <w:spacing w:before="60" w:after="60"/>
              <w:jc w:val="both"/>
              <w:rPr>
                <w:lang w:val="en-US"/>
              </w:rPr>
            </w:pPr>
            <w:r w:rsidRPr="0075650B">
              <w:rPr>
                <w:lang w:val="en-US"/>
              </w:rPr>
              <w:t>Mail.</w:t>
            </w:r>
            <w:r w:rsidR="00C31D20" w:rsidRPr="0075650B">
              <w:rPr>
                <w:lang w:val="en-US"/>
              </w:rPr>
              <w:t xml:space="preserve"> </w:t>
            </w:r>
          </w:p>
          <w:p w14:paraId="2050DFA9" w14:textId="1FF84B6C" w:rsidR="002B1AD6" w:rsidRPr="0075650B" w:rsidRDefault="002B1AD6" w:rsidP="007D153E">
            <w:pPr>
              <w:spacing w:before="60" w:after="60"/>
              <w:jc w:val="both"/>
              <w:rPr>
                <w:lang w:val="en-US"/>
              </w:rPr>
            </w:pPr>
            <w:hyperlink r:id="rId7" w:history="1">
              <w:r w:rsidRPr="0075650B">
                <w:rPr>
                  <w:rStyle w:val="Hipervnculo"/>
                  <w:lang w:val="en-US"/>
                </w:rPr>
                <w:t>sandra.sostdom@gmail.com</w:t>
              </w:r>
            </w:hyperlink>
          </w:p>
          <w:p w14:paraId="7633F196" w14:textId="0C00D2E1" w:rsidR="002249AF" w:rsidRPr="0075650B" w:rsidRDefault="002249AF" w:rsidP="007D153E">
            <w:pPr>
              <w:spacing w:before="60" w:after="60"/>
              <w:jc w:val="both"/>
              <w:rPr>
                <w:lang w:val="en-US"/>
              </w:rPr>
            </w:pPr>
            <w:hyperlink r:id="rId8" w:history="1">
              <w:r w:rsidRPr="0075650B">
                <w:rPr>
                  <w:rStyle w:val="Hipervnculo"/>
                  <w:lang w:val="en-US"/>
                </w:rPr>
                <w:t>oso.wh92@gmail.com</w:t>
              </w:r>
            </w:hyperlink>
            <w:r w:rsidRPr="0075650B">
              <w:rPr>
                <w:lang w:val="en-US"/>
              </w:rPr>
              <w:t xml:space="preserve"> </w:t>
            </w:r>
          </w:p>
          <w:p w14:paraId="7C76C430" w14:textId="2629376D" w:rsidR="002B1AD6" w:rsidRPr="00EA7161" w:rsidRDefault="002249AF" w:rsidP="007D153E">
            <w:pPr>
              <w:spacing w:before="60" w:after="60"/>
              <w:jc w:val="both"/>
            </w:pPr>
            <w:hyperlink r:id="rId9" w:history="1">
              <w:r w:rsidRPr="00F57F5E">
                <w:rPr>
                  <w:rStyle w:val="Hipervnculo"/>
                </w:rPr>
                <w:t>gabyto-0703@hotmail.com</w:t>
              </w:r>
            </w:hyperlink>
            <w:r>
              <w:t xml:space="preserve"> </w:t>
            </w:r>
          </w:p>
        </w:tc>
        <w:tc>
          <w:tcPr>
            <w:tcW w:w="3407" w:type="dxa"/>
            <w:gridSpan w:val="2"/>
          </w:tcPr>
          <w:p w14:paraId="77C8AA8C" w14:textId="77777777" w:rsidR="00C31D20" w:rsidRDefault="0096177E" w:rsidP="007D153E">
            <w:pPr>
              <w:spacing w:before="60" w:after="60"/>
              <w:jc w:val="both"/>
            </w:pPr>
            <w:r>
              <w:lastRenderedPageBreak/>
              <w:t>Teléfono</w:t>
            </w:r>
          </w:p>
          <w:p w14:paraId="618CDC7F" w14:textId="77777777" w:rsidR="002B1AD6" w:rsidRDefault="002B1AD6" w:rsidP="007D153E">
            <w:pPr>
              <w:spacing w:before="60" w:after="60"/>
              <w:jc w:val="both"/>
            </w:pPr>
            <w:r>
              <w:t>5625255604</w:t>
            </w:r>
          </w:p>
          <w:p w14:paraId="32660440" w14:textId="77777777" w:rsidR="002249AF" w:rsidRDefault="002249AF" w:rsidP="007D153E">
            <w:pPr>
              <w:spacing w:before="60" w:after="60"/>
              <w:jc w:val="both"/>
            </w:pPr>
            <w:r>
              <w:t>5540061241</w:t>
            </w:r>
          </w:p>
          <w:p w14:paraId="73515F45" w14:textId="00DFAEB0" w:rsidR="002249AF" w:rsidRPr="0096177E" w:rsidRDefault="002249AF" w:rsidP="007D153E">
            <w:pPr>
              <w:spacing w:before="60" w:after="60"/>
              <w:jc w:val="both"/>
            </w:pPr>
            <w:r>
              <w:lastRenderedPageBreak/>
              <w:t>5548716566</w:t>
            </w:r>
          </w:p>
        </w:tc>
        <w:tc>
          <w:tcPr>
            <w:tcW w:w="3408" w:type="dxa"/>
          </w:tcPr>
          <w:p w14:paraId="489A2473" w14:textId="77777777" w:rsidR="00C31D20" w:rsidRDefault="0096177E" w:rsidP="007D153E">
            <w:pPr>
              <w:spacing w:before="60" w:after="60"/>
              <w:jc w:val="both"/>
            </w:pPr>
            <w:r>
              <w:lastRenderedPageBreak/>
              <w:t>GRADO ACADÉMICO:</w:t>
            </w:r>
            <w:r w:rsidR="00C31D20">
              <w:t xml:space="preserve"> </w:t>
            </w:r>
          </w:p>
          <w:p w14:paraId="67171D22" w14:textId="77777777" w:rsidR="002B1AD6" w:rsidRDefault="002B1AD6" w:rsidP="007D153E">
            <w:pPr>
              <w:spacing w:before="60" w:after="60"/>
              <w:jc w:val="both"/>
            </w:pPr>
            <w:r>
              <w:t>Primer año</w:t>
            </w:r>
          </w:p>
          <w:p w14:paraId="6FD24E0B" w14:textId="77777777" w:rsidR="002249AF" w:rsidRDefault="002249AF" w:rsidP="007D153E">
            <w:pPr>
              <w:spacing w:before="60" w:after="60"/>
              <w:jc w:val="both"/>
            </w:pPr>
            <w:r>
              <w:t>Primer año</w:t>
            </w:r>
          </w:p>
          <w:p w14:paraId="13C0C13F" w14:textId="644A442C" w:rsidR="002249AF" w:rsidRPr="00EA7161" w:rsidRDefault="002249AF" w:rsidP="007D153E">
            <w:pPr>
              <w:spacing w:before="60" w:after="60"/>
              <w:jc w:val="both"/>
            </w:pPr>
            <w:r>
              <w:lastRenderedPageBreak/>
              <w:t>Médico adscrito</w:t>
            </w:r>
          </w:p>
        </w:tc>
      </w:tr>
    </w:tbl>
    <w:p w14:paraId="0C049671" w14:textId="77777777" w:rsidR="00C31D20" w:rsidRPr="001F065D" w:rsidRDefault="00C31D20" w:rsidP="00C31D20">
      <w:pPr>
        <w:spacing w:after="120"/>
        <w:jc w:val="center"/>
        <w:rPr>
          <w:color w:val="FFFFFF"/>
        </w:rPr>
      </w:pPr>
      <w:r w:rsidRPr="00C4601D">
        <w:rPr>
          <w:color w:val="FFFFFF"/>
          <w:highlight w:val="lightGray"/>
        </w:rPr>
        <w:lastRenderedPageBreak/>
        <w:t>Para la aceptación y programación definitiva del trabajo el autor que lo presentará deberá estar ya inscrito al congreso y no podrá presentar más de 3 trabajos</w:t>
      </w:r>
    </w:p>
    <w:p w14:paraId="270C2D1E" w14:textId="77777777" w:rsidR="00C31D20" w:rsidRDefault="00C31D20" w:rsidP="00C31D20">
      <w:pPr>
        <w:spacing w:after="120"/>
        <w:jc w:val="center"/>
        <w:rPr>
          <w:b/>
        </w:rPr>
      </w:pPr>
    </w:p>
    <w:p w14:paraId="192B96FE" w14:textId="77777777" w:rsidR="00B67CF1" w:rsidRDefault="00B67CF1" w:rsidP="00C31D20">
      <w:pPr>
        <w:spacing w:after="120"/>
        <w:jc w:val="center"/>
        <w:rPr>
          <w:b/>
        </w:rPr>
      </w:pPr>
    </w:p>
    <w:p w14:paraId="384C3F81" w14:textId="77777777" w:rsidR="00B67CF1" w:rsidRDefault="00B67CF1" w:rsidP="00C31D20">
      <w:pPr>
        <w:spacing w:after="120"/>
        <w:jc w:val="center"/>
        <w:rPr>
          <w:b/>
        </w:rPr>
      </w:pPr>
    </w:p>
    <w:p w14:paraId="602CF84D" w14:textId="77777777" w:rsidR="00C31D20" w:rsidRPr="00EA7161" w:rsidRDefault="00C31D20" w:rsidP="00C31D20">
      <w:pPr>
        <w:spacing w:after="120"/>
        <w:jc w:val="center"/>
        <w:rPr>
          <w:b/>
        </w:rPr>
      </w:pPr>
      <w:r w:rsidRPr="00EA7161">
        <w:rPr>
          <w:b/>
        </w:rPr>
        <w:t>DISCIPLINA DE SU TRABAJO</w:t>
      </w:r>
      <w:r w:rsidR="0096177E">
        <w:rPr>
          <w:b/>
        </w:rPr>
        <w:t xml:space="preserve"> (favor de señalar con X)</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553"/>
        <w:gridCol w:w="2552"/>
        <w:gridCol w:w="2552"/>
      </w:tblGrid>
      <w:tr w:rsidR="00C31D20" w:rsidRPr="008D1E20" w14:paraId="5D02EF5C" w14:textId="77777777" w:rsidTr="007D153E">
        <w:tc>
          <w:tcPr>
            <w:tcW w:w="2550" w:type="dxa"/>
          </w:tcPr>
          <w:p w14:paraId="383E83E8" w14:textId="77777777" w:rsidR="00C31D20" w:rsidRPr="0096177E" w:rsidRDefault="0096177E" w:rsidP="007D153E">
            <w:pPr>
              <w:spacing w:before="60" w:after="60"/>
              <w:rPr>
                <w:rFonts w:ascii="Arial Narrow" w:hAnsi="Arial Narrow"/>
                <w:sz w:val="20"/>
                <w:szCs w:val="20"/>
              </w:rPr>
            </w:pPr>
            <w:r>
              <w:rPr>
                <w:rFonts w:ascii="Arial Narrow" w:hAnsi="Arial Narrow"/>
                <w:sz w:val="20"/>
                <w:szCs w:val="20"/>
              </w:rPr>
              <w:t>Cirugía Vascular Cerebral</w:t>
            </w:r>
          </w:p>
        </w:tc>
        <w:tc>
          <w:tcPr>
            <w:tcW w:w="2553" w:type="dxa"/>
          </w:tcPr>
          <w:p w14:paraId="51571E44"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Cirugía Endovascular Cerebral</w:t>
            </w:r>
            <w:r w:rsidR="00C31D20">
              <w:rPr>
                <w:rFonts w:ascii="Arial Narrow" w:hAnsi="Arial Narrow"/>
                <w:sz w:val="20"/>
                <w:szCs w:val="20"/>
              </w:rPr>
              <w:t xml:space="preserve"> </w:t>
            </w:r>
          </w:p>
        </w:tc>
        <w:tc>
          <w:tcPr>
            <w:tcW w:w="2552" w:type="dxa"/>
          </w:tcPr>
          <w:p w14:paraId="1630FF61" w14:textId="77777777" w:rsidR="00C31D20" w:rsidRPr="008D1E20" w:rsidRDefault="0096177E" w:rsidP="0096177E">
            <w:pPr>
              <w:spacing w:before="60" w:after="60"/>
              <w:rPr>
                <w:rFonts w:ascii="Arial Narrow" w:hAnsi="Arial Narrow"/>
                <w:sz w:val="20"/>
                <w:szCs w:val="20"/>
              </w:rPr>
            </w:pPr>
            <w:r>
              <w:rPr>
                <w:rFonts w:ascii="Arial Narrow" w:hAnsi="Arial Narrow"/>
                <w:sz w:val="20"/>
                <w:szCs w:val="20"/>
              </w:rPr>
              <w:t>Neuro-Trauma</w:t>
            </w:r>
            <w:r w:rsidR="00C31D20">
              <w:rPr>
                <w:rFonts w:ascii="Arial Narrow" w:hAnsi="Arial Narrow"/>
                <w:sz w:val="20"/>
                <w:szCs w:val="20"/>
              </w:rPr>
              <w:t xml:space="preserve"> </w:t>
            </w:r>
          </w:p>
        </w:tc>
        <w:tc>
          <w:tcPr>
            <w:tcW w:w="2552" w:type="dxa"/>
          </w:tcPr>
          <w:p w14:paraId="70C1FC8F"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Neuro-Oncología</w:t>
            </w:r>
            <w:r w:rsidR="00C31D20">
              <w:rPr>
                <w:rFonts w:ascii="Arial Narrow" w:hAnsi="Arial Narrow"/>
                <w:sz w:val="20"/>
                <w:szCs w:val="20"/>
              </w:rPr>
              <w:t xml:space="preserve">: </w:t>
            </w:r>
          </w:p>
        </w:tc>
      </w:tr>
      <w:tr w:rsidR="00C31D20" w:rsidRPr="008D1E20" w14:paraId="637243D2" w14:textId="77777777" w:rsidTr="007D153E">
        <w:tc>
          <w:tcPr>
            <w:tcW w:w="2550" w:type="dxa"/>
          </w:tcPr>
          <w:p w14:paraId="54A58E89" w14:textId="4BACCA60" w:rsidR="00C31D20" w:rsidRPr="008D1E20" w:rsidRDefault="0096177E" w:rsidP="007D153E">
            <w:pPr>
              <w:spacing w:before="60" w:after="60"/>
              <w:rPr>
                <w:rFonts w:ascii="Arial Narrow" w:hAnsi="Arial Narrow"/>
                <w:sz w:val="20"/>
                <w:szCs w:val="20"/>
              </w:rPr>
            </w:pPr>
            <w:r>
              <w:rPr>
                <w:rFonts w:ascii="Arial Narrow" w:hAnsi="Arial Narrow"/>
                <w:sz w:val="20"/>
                <w:szCs w:val="20"/>
              </w:rPr>
              <w:t>Cirugía de Columna</w:t>
            </w:r>
            <w:r w:rsidR="00C31D20">
              <w:rPr>
                <w:rFonts w:ascii="Arial Narrow" w:hAnsi="Arial Narrow"/>
                <w:sz w:val="20"/>
                <w:szCs w:val="20"/>
              </w:rPr>
              <w:t xml:space="preserve"> </w:t>
            </w:r>
            <w:r w:rsidR="002B1AD6" w:rsidRPr="002249AF">
              <w:rPr>
                <w:rFonts w:ascii="Arial Narrow" w:hAnsi="Arial Narrow"/>
                <w:b/>
                <w:bCs/>
                <w:sz w:val="20"/>
                <w:szCs w:val="20"/>
              </w:rPr>
              <w:t>X</w:t>
            </w:r>
          </w:p>
        </w:tc>
        <w:tc>
          <w:tcPr>
            <w:tcW w:w="2553" w:type="dxa"/>
          </w:tcPr>
          <w:p w14:paraId="6E5A101C"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Neurocirugía Pediátrica</w:t>
            </w:r>
            <w:r w:rsidR="00C31D20" w:rsidRPr="008D1E20">
              <w:rPr>
                <w:rFonts w:ascii="Arial Narrow" w:hAnsi="Arial Narrow"/>
                <w:sz w:val="20"/>
                <w:szCs w:val="20"/>
              </w:rPr>
              <w:t>:</w:t>
            </w:r>
            <w:r w:rsidR="00C31D20">
              <w:rPr>
                <w:rFonts w:ascii="Arial Narrow" w:hAnsi="Arial Narrow"/>
                <w:sz w:val="20"/>
                <w:szCs w:val="20"/>
              </w:rPr>
              <w:t xml:space="preserve"> </w:t>
            </w:r>
          </w:p>
        </w:tc>
        <w:tc>
          <w:tcPr>
            <w:tcW w:w="2552" w:type="dxa"/>
          </w:tcPr>
          <w:p w14:paraId="1028E30F"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Cirugía de Base de Cráneo</w:t>
            </w:r>
            <w:r w:rsidR="00C31D20" w:rsidRPr="008D1E20">
              <w:rPr>
                <w:rFonts w:ascii="Arial Narrow" w:hAnsi="Arial Narrow"/>
                <w:sz w:val="20"/>
                <w:szCs w:val="20"/>
              </w:rPr>
              <w:t xml:space="preserve">: </w:t>
            </w:r>
          </w:p>
        </w:tc>
        <w:tc>
          <w:tcPr>
            <w:tcW w:w="2552" w:type="dxa"/>
          </w:tcPr>
          <w:p w14:paraId="0B9B64AF"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Cirugía Nervio Periférico</w:t>
            </w:r>
            <w:r w:rsidR="00C31D20">
              <w:rPr>
                <w:rFonts w:ascii="Arial Narrow" w:hAnsi="Arial Narrow"/>
                <w:sz w:val="20"/>
                <w:szCs w:val="20"/>
              </w:rPr>
              <w:t xml:space="preserve">: </w:t>
            </w:r>
          </w:p>
        </w:tc>
      </w:tr>
      <w:tr w:rsidR="00C31D20" w:rsidRPr="008D1E20" w14:paraId="1E26C60B" w14:textId="77777777" w:rsidTr="007D153E">
        <w:tc>
          <w:tcPr>
            <w:tcW w:w="2550" w:type="dxa"/>
          </w:tcPr>
          <w:p w14:paraId="31A0BC9C"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Neurocirugía Funcional</w:t>
            </w:r>
            <w:r w:rsidR="00C31D20">
              <w:rPr>
                <w:rFonts w:ascii="Arial Narrow" w:hAnsi="Arial Narrow"/>
                <w:sz w:val="20"/>
                <w:szCs w:val="20"/>
              </w:rPr>
              <w:t xml:space="preserve"> </w:t>
            </w:r>
          </w:p>
        </w:tc>
        <w:tc>
          <w:tcPr>
            <w:tcW w:w="2553" w:type="dxa"/>
          </w:tcPr>
          <w:p w14:paraId="7E708708" w14:textId="77777777" w:rsidR="00C31D20" w:rsidRPr="008D1E20" w:rsidRDefault="0096177E" w:rsidP="007D153E">
            <w:pPr>
              <w:spacing w:before="60" w:after="60"/>
              <w:rPr>
                <w:rFonts w:ascii="Arial Narrow" w:hAnsi="Arial Narrow"/>
                <w:sz w:val="20"/>
                <w:szCs w:val="20"/>
              </w:rPr>
            </w:pPr>
            <w:r>
              <w:rPr>
                <w:rFonts w:ascii="Arial Narrow" w:hAnsi="Arial Narrow"/>
                <w:sz w:val="20"/>
                <w:szCs w:val="20"/>
              </w:rPr>
              <w:t>Investigación</w:t>
            </w:r>
            <w:r w:rsidR="00C31D20">
              <w:rPr>
                <w:rFonts w:ascii="Arial Narrow" w:hAnsi="Arial Narrow"/>
                <w:sz w:val="20"/>
                <w:szCs w:val="20"/>
              </w:rPr>
              <w:t xml:space="preserve">:  </w:t>
            </w:r>
          </w:p>
        </w:tc>
        <w:tc>
          <w:tcPr>
            <w:tcW w:w="5104" w:type="dxa"/>
            <w:gridSpan w:val="2"/>
          </w:tcPr>
          <w:p w14:paraId="3DF9405B" w14:textId="77777777" w:rsidR="00C31D20" w:rsidRPr="008D1E20" w:rsidRDefault="00C31D20" w:rsidP="007D153E">
            <w:pPr>
              <w:spacing w:before="60" w:after="60"/>
              <w:rPr>
                <w:rFonts w:ascii="Arial Narrow" w:hAnsi="Arial Narrow"/>
                <w:sz w:val="20"/>
                <w:szCs w:val="20"/>
              </w:rPr>
            </w:pPr>
            <w:r w:rsidRPr="008D1E20">
              <w:rPr>
                <w:rFonts w:ascii="Arial Narrow" w:hAnsi="Arial Narrow"/>
                <w:sz w:val="20"/>
                <w:szCs w:val="20"/>
              </w:rPr>
              <w:t xml:space="preserve">Otra (especifique): </w:t>
            </w:r>
          </w:p>
        </w:tc>
      </w:tr>
    </w:tbl>
    <w:p w14:paraId="50884573" w14:textId="77777777" w:rsidR="00C31D20" w:rsidRDefault="00C31D20" w:rsidP="00C31D20">
      <w:pPr>
        <w:tabs>
          <w:tab w:val="left" w:pos="1140"/>
        </w:tabs>
      </w:pPr>
    </w:p>
    <w:p w14:paraId="16DD2220" w14:textId="77777777" w:rsidR="0096177E" w:rsidRPr="0096177E" w:rsidRDefault="0096177E" w:rsidP="0096177E">
      <w:pPr>
        <w:tabs>
          <w:tab w:val="left" w:pos="1140"/>
        </w:tabs>
        <w:jc w:val="center"/>
        <w:rPr>
          <w:b/>
        </w:rPr>
      </w:pPr>
      <w:r w:rsidRPr="0096177E">
        <w:rPr>
          <w:b/>
        </w:rPr>
        <w:t>RESUMEN (500 palabras como máximo)</w:t>
      </w:r>
    </w:p>
    <w:p w14:paraId="3C72D4D5" w14:textId="77777777" w:rsidR="0096177E" w:rsidRPr="000147D3" w:rsidRDefault="0096177E" w:rsidP="0096177E">
      <w:pPr>
        <w:spacing w:before="60" w:after="60"/>
      </w:pPr>
    </w:p>
    <w:tbl>
      <w:tblPr>
        <w:tblStyle w:val="Tablaconcuadrcula"/>
        <w:tblW w:w="9891" w:type="dxa"/>
        <w:tblLook w:val="04A0" w:firstRow="1" w:lastRow="0" w:firstColumn="1" w:lastColumn="0" w:noHBand="0" w:noVBand="1"/>
      </w:tblPr>
      <w:tblGrid>
        <w:gridCol w:w="9891"/>
      </w:tblGrid>
      <w:tr w:rsidR="0096177E" w:rsidRPr="00735AEA" w14:paraId="0501A086" w14:textId="77777777" w:rsidTr="0096177E">
        <w:trPr>
          <w:trHeight w:val="760"/>
        </w:trPr>
        <w:tc>
          <w:tcPr>
            <w:tcW w:w="9891" w:type="dxa"/>
          </w:tcPr>
          <w:p w14:paraId="7D118D2A" w14:textId="77777777" w:rsidR="0075650B" w:rsidRDefault="0075650B" w:rsidP="00735AEA">
            <w:pPr>
              <w:tabs>
                <w:tab w:val="left" w:pos="1140"/>
              </w:tabs>
              <w:rPr>
                <w:rFonts w:asciiTheme="majorHAnsi" w:hAnsiTheme="majorHAnsi"/>
              </w:rPr>
            </w:pPr>
            <w:r>
              <w:rPr>
                <w:rFonts w:asciiTheme="majorHAnsi" w:hAnsiTheme="majorHAnsi"/>
              </w:rPr>
              <w:t>Título:</w:t>
            </w:r>
            <w:r w:rsidR="002B1AD6">
              <w:rPr>
                <w:rFonts w:asciiTheme="majorHAnsi" w:hAnsiTheme="majorHAnsi"/>
              </w:rPr>
              <w:t xml:space="preserve">Más allá de trauma: impacto </w:t>
            </w:r>
            <w:r w:rsidR="00031159">
              <w:rPr>
                <w:rFonts w:asciiTheme="majorHAnsi" w:hAnsiTheme="majorHAnsi"/>
              </w:rPr>
              <w:t>de la compresión severa en la médula cervical</w:t>
            </w:r>
            <w:r w:rsidR="0096177E">
              <w:rPr>
                <w:rFonts w:asciiTheme="majorHAnsi" w:hAnsiTheme="majorHAnsi"/>
              </w:rPr>
              <w:t xml:space="preserve">, </w:t>
            </w:r>
          </w:p>
          <w:p w14:paraId="27DEA328" w14:textId="77777777" w:rsidR="0075650B" w:rsidRDefault="0075650B" w:rsidP="00735AEA">
            <w:pPr>
              <w:tabs>
                <w:tab w:val="left" w:pos="1140"/>
              </w:tabs>
              <w:rPr>
                <w:rFonts w:asciiTheme="majorHAnsi" w:hAnsiTheme="majorHAnsi"/>
              </w:rPr>
            </w:pPr>
            <w:r>
              <w:rPr>
                <w:rFonts w:asciiTheme="majorHAnsi" w:hAnsiTheme="majorHAnsi"/>
              </w:rPr>
              <w:t>Autores:</w:t>
            </w:r>
            <w:r w:rsidR="006D1C8D" w:rsidRPr="006D1C8D">
              <w:rPr>
                <w:rFonts w:asciiTheme="majorHAnsi" w:hAnsiTheme="majorHAnsi"/>
              </w:rPr>
              <w:t>Sóstenes Domínguez Sandra Y Alanis Mendoza Sergio Ivan, Cordero Perez Gabriela Alejandra</w:t>
            </w:r>
            <w:r w:rsidR="0096177E">
              <w:rPr>
                <w:rFonts w:asciiTheme="majorHAnsi" w:hAnsiTheme="majorHAnsi"/>
              </w:rPr>
              <w:t xml:space="preserve">, </w:t>
            </w:r>
          </w:p>
          <w:p w14:paraId="6C1C5463" w14:textId="343793A4" w:rsidR="00735AEA" w:rsidRDefault="0075650B" w:rsidP="00735AEA">
            <w:pPr>
              <w:tabs>
                <w:tab w:val="left" w:pos="1140"/>
              </w:tabs>
              <w:rPr>
                <w:rFonts w:asciiTheme="majorHAnsi" w:hAnsiTheme="majorHAnsi"/>
              </w:rPr>
            </w:pPr>
            <w:r>
              <w:rPr>
                <w:rFonts w:asciiTheme="majorHAnsi" w:hAnsiTheme="majorHAnsi"/>
              </w:rPr>
              <w:t xml:space="preserve">Institución: </w:t>
            </w:r>
            <w:r w:rsidR="002249AF">
              <w:rPr>
                <w:rFonts w:asciiTheme="majorHAnsi" w:hAnsiTheme="majorHAnsi"/>
              </w:rPr>
              <w:t>IMSS Bienestar</w:t>
            </w:r>
            <w:r w:rsidR="0096177E">
              <w:rPr>
                <w:rFonts w:asciiTheme="majorHAnsi" w:hAnsiTheme="majorHAnsi"/>
              </w:rPr>
              <w:t xml:space="preserve">, </w:t>
            </w:r>
          </w:p>
          <w:p w14:paraId="00974583" w14:textId="17C1A15D" w:rsidR="00735AEA" w:rsidRPr="00735AEA" w:rsidRDefault="007B22E1" w:rsidP="00735AEA">
            <w:pPr>
              <w:tabs>
                <w:tab w:val="left" w:pos="1140"/>
              </w:tabs>
              <w:jc w:val="both"/>
              <w:rPr>
                <w:rFonts w:asciiTheme="majorHAnsi" w:hAnsiTheme="majorHAnsi"/>
              </w:rPr>
            </w:pPr>
            <w:r>
              <w:rPr>
                <w:rFonts w:asciiTheme="majorHAnsi" w:hAnsiTheme="majorHAnsi"/>
              </w:rPr>
              <w:t>Res</w:t>
            </w:r>
            <w:r w:rsidR="00735AEA">
              <w:rPr>
                <w:rFonts w:asciiTheme="majorHAnsi" w:hAnsiTheme="majorHAnsi"/>
              </w:rPr>
              <w:t xml:space="preserve">umen: </w:t>
            </w:r>
            <w:r w:rsidR="00735AEA" w:rsidRPr="00735AEA">
              <w:rPr>
                <w:rFonts w:asciiTheme="majorHAnsi" w:hAnsiTheme="majorHAnsi"/>
              </w:rPr>
              <w:t>El trauma medular (lesión medular traumática, TRM) es una entidad crítica en neurocirugía caracterizada por daño estructural y funcional de la médula espinal secundario a fuerzas mecánicas, con consecuencias neurológicas que van desde déficits sensitivos leves hasta parálisis completa. Representa una causa importante de discapacidad permanente, con alto impacto individual y socioeconómico.</w:t>
            </w:r>
          </w:p>
          <w:p w14:paraId="616A7420" w14:textId="7A5823C7" w:rsidR="00735AEA" w:rsidRPr="00735AEA" w:rsidRDefault="00735AEA" w:rsidP="00735AEA">
            <w:pPr>
              <w:tabs>
                <w:tab w:val="left" w:pos="1140"/>
              </w:tabs>
              <w:jc w:val="both"/>
              <w:rPr>
                <w:rFonts w:asciiTheme="majorHAnsi" w:hAnsiTheme="majorHAnsi"/>
              </w:rPr>
            </w:pPr>
            <w:r w:rsidRPr="00735AEA">
              <w:rPr>
                <w:rFonts w:asciiTheme="majorHAnsi" w:hAnsiTheme="majorHAnsi"/>
              </w:rPr>
              <w:t>Desde el punto de vista etiológico, las principales causas incluyen accidentes de tránsito, caídas y violencia, predominando en población joven y en pacientes politraumatizados. La región cervical es la más frecuentemente afectada, lo que incrementa el riesgo de compromiso respiratorio y mortalidad.</w:t>
            </w:r>
          </w:p>
          <w:p w14:paraId="302D412B" w14:textId="226195EF" w:rsidR="00735AEA" w:rsidRPr="00735AEA" w:rsidRDefault="00735AEA" w:rsidP="00735AEA">
            <w:pPr>
              <w:tabs>
                <w:tab w:val="left" w:pos="1140"/>
              </w:tabs>
              <w:jc w:val="both"/>
              <w:rPr>
                <w:rFonts w:asciiTheme="majorHAnsi" w:hAnsiTheme="majorHAnsi"/>
              </w:rPr>
            </w:pPr>
            <w:r w:rsidRPr="00735AEA">
              <w:rPr>
                <w:rFonts w:asciiTheme="majorHAnsi" w:hAnsiTheme="majorHAnsi"/>
              </w:rPr>
              <w:t>Fisiopatología</w:t>
            </w:r>
          </w:p>
          <w:p w14:paraId="0A3223C2" w14:textId="14C1C96B" w:rsidR="00735AEA" w:rsidRPr="00735AEA" w:rsidRDefault="00735AEA" w:rsidP="00735AEA">
            <w:pPr>
              <w:tabs>
                <w:tab w:val="left" w:pos="1140"/>
              </w:tabs>
              <w:jc w:val="both"/>
              <w:rPr>
                <w:rFonts w:asciiTheme="majorHAnsi" w:hAnsiTheme="majorHAnsi"/>
              </w:rPr>
            </w:pPr>
            <w:r w:rsidRPr="00735AEA">
              <w:rPr>
                <w:rFonts w:asciiTheme="majorHAnsi" w:hAnsiTheme="majorHAnsi"/>
              </w:rPr>
              <w:t>La fisiopatología del TRM se divide clásicamente en lesión primaria y secundaria. La lesión primaria ocurre en el momento del trauma e incluye compresión, contusión o laceración directa del tejido neural debido a fuerzas biomecánicas. Este daño inicial es irreversible.</w:t>
            </w:r>
          </w:p>
          <w:p w14:paraId="4EE48D68" w14:textId="6958CE4F" w:rsidR="00735AEA" w:rsidRPr="00735AEA" w:rsidRDefault="00735AEA" w:rsidP="00735AEA">
            <w:pPr>
              <w:tabs>
                <w:tab w:val="left" w:pos="1140"/>
              </w:tabs>
              <w:jc w:val="both"/>
              <w:rPr>
                <w:rFonts w:asciiTheme="majorHAnsi" w:hAnsiTheme="majorHAnsi"/>
              </w:rPr>
            </w:pPr>
            <w:r w:rsidRPr="00735AEA">
              <w:rPr>
                <w:rFonts w:asciiTheme="majorHAnsi" w:hAnsiTheme="majorHAnsi"/>
              </w:rPr>
              <w:t>La lesión secundaria corresponde a una cascada progresiva de eventos celulares y moleculares que agravan el daño inicial. Incluye isquemia medular, edema, excitotoxicidad por glutamato, inflamación, formación de radicales libres y disfunción iónica. Estos procesos pueden extenderse durante horas a días, contribuyendo a la muerte neuronal y desmielinización progresiva.</w:t>
            </w:r>
          </w:p>
          <w:p w14:paraId="0EDA7DCA" w14:textId="0EEF8EA2" w:rsidR="00735AEA" w:rsidRPr="00735AEA" w:rsidRDefault="00735AEA" w:rsidP="00735AEA">
            <w:pPr>
              <w:tabs>
                <w:tab w:val="left" w:pos="1140"/>
              </w:tabs>
              <w:jc w:val="both"/>
              <w:rPr>
                <w:rFonts w:asciiTheme="majorHAnsi" w:hAnsiTheme="majorHAnsi"/>
              </w:rPr>
            </w:pPr>
            <w:r w:rsidRPr="00735AEA">
              <w:rPr>
                <w:rFonts w:asciiTheme="majorHAnsi" w:hAnsiTheme="majorHAnsi"/>
              </w:rPr>
              <w:t>Además, se describen fases evolutivas (inmediata, aguda, subaguda, intermedia y crónica), lo que permite orientar intervenciones terapéuticas específicas según el momento de la lesión.</w:t>
            </w:r>
          </w:p>
          <w:p w14:paraId="1560A73E" w14:textId="173F9FD7" w:rsidR="00735AEA" w:rsidRPr="00735AEA" w:rsidRDefault="00735AEA" w:rsidP="00735AEA">
            <w:pPr>
              <w:tabs>
                <w:tab w:val="left" w:pos="1140"/>
              </w:tabs>
              <w:jc w:val="both"/>
              <w:rPr>
                <w:rFonts w:asciiTheme="majorHAnsi" w:hAnsiTheme="majorHAnsi"/>
              </w:rPr>
            </w:pPr>
            <w:r w:rsidRPr="00735AEA">
              <w:rPr>
                <w:rFonts w:asciiTheme="majorHAnsi" w:hAnsiTheme="majorHAnsi"/>
              </w:rPr>
              <w:t>Evaluación y diagnóstico</w:t>
            </w:r>
          </w:p>
          <w:p w14:paraId="75F453C0" w14:textId="7EE3BD6A" w:rsidR="00735AEA" w:rsidRPr="00735AEA" w:rsidRDefault="00735AEA" w:rsidP="00735AEA">
            <w:pPr>
              <w:tabs>
                <w:tab w:val="left" w:pos="1140"/>
              </w:tabs>
              <w:jc w:val="both"/>
              <w:rPr>
                <w:rFonts w:asciiTheme="majorHAnsi" w:hAnsiTheme="majorHAnsi"/>
              </w:rPr>
            </w:pPr>
            <w:r w:rsidRPr="00735AEA">
              <w:rPr>
                <w:rFonts w:asciiTheme="majorHAnsi" w:hAnsiTheme="majorHAnsi"/>
              </w:rPr>
              <w:t>El diagnóstico se basa en la evaluación clínica neurológica sistematizada (como la escala ASIA) y estudios de imagen. La tomografía computarizada (TC) es el método inicial para identificar lesiones óseas, mientras que la resonancia magnética (RM) permite valorar el compromiso medular, ligamentario y de tejidos blandos, siendo clave para el pronóstico.</w:t>
            </w:r>
          </w:p>
          <w:p w14:paraId="17A11F6D" w14:textId="01E68233" w:rsidR="00735AEA" w:rsidRPr="00735AEA" w:rsidRDefault="00735AEA" w:rsidP="00735AEA">
            <w:pPr>
              <w:tabs>
                <w:tab w:val="left" w:pos="1140"/>
              </w:tabs>
              <w:jc w:val="both"/>
              <w:rPr>
                <w:rFonts w:asciiTheme="majorHAnsi" w:hAnsiTheme="majorHAnsi"/>
              </w:rPr>
            </w:pPr>
            <w:r w:rsidRPr="00735AEA">
              <w:rPr>
                <w:rFonts w:asciiTheme="majorHAnsi" w:hAnsiTheme="majorHAnsi"/>
              </w:rPr>
              <w:t>Manejo agudo</w:t>
            </w:r>
          </w:p>
          <w:p w14:paraId="668164A2" w14:textId="5327C4C2" w:rsidR="00735AEA" w:rsidRPr="00735AEA" w:rsidRDefault="00735AEA" w:rsidP="00735AEA">
            <w:pPr>
              <w:tabs>
                <w:tab w:val="left" w:pos="1140"/>
              </w:tabs>
              <w:jc w:val="both"/>
              <w:rPr>
                <w:rFonts w:asciiTheme="majorHAnsi" w:hAnsiTheme="majorHAnsi"/>
              </w:rPr>
            </w:pPr>
            <w:r w:rsidRPr="00735AEA">
              <w:rPr>
                <w:rFonts w:asciiTheme="majorHAnsi" w:hAnsiTheme="majorHAnsi"/>
              </w:rPr>
              <w:t xml:space="preserve">El manejo inicial sigue principios de soporte vital avanzado en trauma, con énfasis en la inmovilización espinal precoz, el mantenimiento de la perfusión medular y la prevención de la lesión secundaria. Es fundamental </w:t>
            </w:r>
            <w:r w:rsidRPr="00735AEA">
              <w:rPr>
                <w:rFonts w:asciiTheme="majorHAnsi" w:hAnsiTheme="majorHAnsi"/>
              </w:rPr>
              <w:lastRenderedPageBreak/>
              <w:t>evitar la hipotensión (presión arterial sistólica &lt;90 mmHg) y mantener una presión arterial media adecuada (85–90 mmHg) durante los primeros días, ya que esto se asocia con mejor recuperación neurológica.</w:t>
            </w:r>
          </w:p>
          <w:p w14:paraId="1AFA4304" w14:textId="031D8738" w:rsidR="00735AEA" w:rsidRPr="00735AEA" w:rsidRDefault="00735AEA" w:rsidP="00735AEA">
            <w:pPr>
              <w:tabs>
                <w:tab w:val="left" w:pos="1140"/>
              </w:tabs>
              <w:jc w:val="both"/>
              <w:rPr>
                <w:rFonts w:asciiTheme="majorHAnsi" w:hAnsiTheme="majorHAnsi"/>
              </w:rPr>
            </w:pPr>
            <w:r w:rsidRPr="00735AEA">
              <w:rPr>
                <w:rFonts w:asciiTheme="majorHAnsi" w:hAnsiTheme="majorHAnsi"/>
              </w:rPr>
              <w:t>El uso de corticosteroides continúa siendo controversial y no constituye un estándar universal, aunque algunas guías lo consideran en contextos seleccionados.</w:t>
            </w:r>
          </w:p>
          <w:p w14:paraId="58BB4231" w14:textId="1ED914AA" w:rsidR="00735AEA" w:rsidRPr="00735AEA" w:rsidRDefault="00735AEA" w:rsidP="00735AEA">
            <w:pPr>
              <w:tabs>
                <w:tab w:val="left" w:pos="1140"/>
              </w:tabs>
              <w:jc w:val="both"/>
              <w:rPr>
                <w:rFonts w:asciiTheme="majorHAnsi" w:hAnsiTheme="majorHAnsi"/>
              </w:rPr>
            </w:pPr>
            <w:r w:rsidRPr="00735AEA">
              <w:rPr>
                <w:rFonts w:asciiTheme="majorHAnsi" w:hAnsiTheme="majorHAnsi"/>
              </w:rPr>
              <w:t>Tratamiento quirúrgico</w:t>
            </w:r>
          </w:p>
          <w:p w14:paraId="190669D0" w14:textId="08FA7368" w:rsidR="00735AEA" w:rsidRPr="00735AEA" w:rsidRDefault="00735AEA" w:rsidP="00735AEA">
            <w:pPr>
              <w:tabs>
                <w:tab w:val="left" w:pos="1140"/>
              </w:tabs>
              <w:jc w:val="both"/>
              <w:rPr>
                <w:rFonts w:asciiTheme="majorHAnsi" w:hAnsiTheme="majorHAnsi"/>
              </w:rPr>
            </w:pPr>
            <w:r w:rsidRPr="00735AEA">
              <w:rPr>
                <w:rFonts w:asciiTheme="majorHAnsi" w:hAnsiTheme="majorHAnsi"/>
              </w:rPr>
              <w:t>En neurocirugía, la descompresión y estabilización temprana son pilares del tratamiento. La evidencia actual sugiere que la intervención quirúrgica precoz (idealmente dentro de las primeras 24 horas) puede mejorar el pronóstico neurológico al reducir la compresión medular y limitar la cascada de lesión secundaria.</w:t>
            </w:r>
          </w:p>
          <w:p w14:paraId="3923BD16" w14:textId="0B2A0AB7" w:rsidR="00735AEA" w:rsidRPr="00735AEA" w:rsidRDefault="00735AEA" w:rsidP="00735AEA">
            <w:pPr>
              <w:tabs>
                <w:tab w:val="left" w:pos="1140"/>
              </w:tabs>
              <w:jc w:val="both"/>
              <w:rPr>
                <w:rFonts w:asciiTheme="majorHAnsi" w:hAnsiTheme="majorHAnsi"/>
              </w:rPr>
            </w:pPr>
            <w:r w:rsidRPr="00735AEA">
              <w:rPr>
                <w:rFonts w:asciiTheme="majorHAnsi" w:hAnsiTheme="majorHAnsi"/>
              </w:rPr>
              <w:t>Las indicaciones incluyen inestabilidad vertebral, compresión medular significativa y deterioro neurológico progresivo.</w:t>
            </w:r>
          </w:p>
          <w:p w14:paraId="15B68EDC" w14:textId="66E9CF37" w:rsidR="00735AEA" w:rsidRPr="00735AEA" w:rsidRDefault="00735AEA" w:rsidP="00735AEA">
            <w:pPr>
              <w:tabs>
                <w:tab w:val="left" w:pos="1140"/>
              </w:tabs>
              <w:jc w:val="both"/>
              <w:rPr>
                <w:rFonts w:asciiTheme="majorHAnsi" w:hAnsiTheme="majorHAnsi"/>
              </w:rPr>
            </w:pPr>
            <w:r w:rsidRPr="00735AEA">
              <w:rPr>
                <w:rFonts w:asciiTheme="majorHAnsi" w:hAnsiTheme="majorHAnsi"/>
              </w:rPr>
              <w:t>Rehabilitación y pronóstico</w:t>
            </w:r>
          </w:p>
          <w:p w14:paraId="07BC522B" w14:textId="32BF6EC9" w:rsidR="00735AEA" w:rsidRPr="00735AEA" w:rsidRDefault="00735AEA" w:rsidP="00735AEA">
            <w:pPr>
              <w:tabs>
                <w:tab w:val="left" w:pos="1140"/>
              </w:tabs>
              <w:jc w:val="both"/>
              <w:rPr>
                <w:rFonts w:asciiTheme="majorHAnsi" w:hAnsiTheme="majorHAnsi"/>
              </w:rPr>
            </w:pPr>
            <w:r w:rsidRPr="00735AEA">
              <w:rPr>
                <w:rFonts w:asciiTheme="majorHAnsi" w:hAnsiTheme="majorHAnsi"/>
              </w:rPr>
              <w:t>El pronóstico depende del nivel y la severidad de la lesión, siendo peor en lesiones completas. La rehabilitación temprana es esencial para optimizar la recuperación funcional, prevenir complicaciones (infecciones, trombosis, úlceras por presión) y favorecer la reintegración social.</w:t>
            </w:r>
          </w:p>
          <w:p w14:paraId="1408AB50" w14:textId="7509EDE2" w:rsidR="00735AEA" w:rsidRPr="00735AEA" w:rsidRDefault="00735AEA" w:rsidP="00735AEA">
            <w:pPr>
              <w:tabs>
                <w:tab w:val="left" w:pos="1140"/>
              </w:tabs>
              <w:jc w:val="both"/>
              <w:rPr>
                <w:rFonts w:asciiTheme="majorHAnsi" w:hAnsiTheme="majorHAnsi"/>
              </w:rPr>
            </w:pPr>
            <w:r w:rsidRPr="00735AEA">
              <w:rPr>
                <w:rFonts w:asciiTheme="majorHAnsi" w:hAnsiTheme="majorHAnsi"/>
              </w:rPr>
              <w:t>Perspectivas actuales</w:t>
            </w:r>
          </w:p>
          <w:p w14:paraId="5737A569" w14:textId="18F7E147" w:rsidR="00735AEA" w:rsidRPr="00735AEA" w:rsidRDefault="00735AEA" w:rsidP="00735AEA">
            <w:pPr>
              <w:tabs>
                <w:tab w:val="left" w:pos="1140"/>
              </w:tabs>
              <w:jc w:val="both"/>
              <w:rPr>
                <w:rFonts w:asciiTheme="majorHAnsi" w:hAnsiTheme="majorHAnsi"/>
              </w:rPr>
            </w:pPr>
            <w:r w:rsidRPr="00735AEA">
              <w:rPr>
                <w:rFonts w:asciiTheme="majorHAnsi" w:hAnsiTheme="majorHAnsi"/>
              </w:rPr>
              <w:t>La investigación en neurocirugía se enfoca en estrategias neuroprotectoras y regenerativas, incluyendo fármacos como riluzol, terapias celulares y técnicas de neuromodulación, aunque aún en fase experimental.</w:t>
            </w:r>
          </w:p>
          <w:p w14:paraId="5ED51077" w14:textId="788A231A" w:rsidR="00735AEA" w:rsidRPr="00735AEA" w:rsidRDefault="00735AEA" w:rsidP="00735AEA">
            <w:pPr>
              <w:tabs>
                <w:tab w:val="left" w:pos="1140"/>
              </w:tabs>
              <w:jc w:val="both"/>
              <w:rPr>
                <w:rFonts w:asciiTheme="majorHAnsi" w:hAnsiTheme="majorHAnsi"/>
              </w:rPr>
            </w:pPr>
            <w:r w:rsidRPr="00735AEA">
              <w:rPr>
                <w:rFonts w:asciiTheme="majorHAnsi" w:hAnsiTheme="majorHAnsi"/>
              </w:rPr>
              <w:t>Conclusión</w:t>
            </w:r>
          </w:p>
          <w:p w14:paraId="1BD94099" w14:textId="77777777" w:rsidR="00735AEA" w:rsidRDefault="00735AEA" w:rsidP="00735AEA">
            <w:pPr>
              <w:tabs>
                <w:tab w:val="left" w:pos="1140"/>
              </w:tabs>
              <w:jc w:val="both"/>
              <w:rPr>
                <w:rFonts w:asciiTheme="majorHAnsi" w:hAnsiTheme="majorHAnsi"/>
              </w:rPr>
            </w:pPr>
            <w:r w:rsidRPr="00735AEA">
              <w:rPr>
                <w:rFonts w:asciiTheme="majorHAnsi" w:hAnsiTheme="majorHAnsi"/>
              </w:rPr>
              <w:t>El trauma medular es una urgencia neuroquirúrgica compleja cuya evolución depende del manejo temprano y multidisciplinario. La comprensión de su fisiopatología ha permitido orientar estrategias terapéuticas dirigidas a limitar la lesión secundaria, siendo la intervención precoz y la rehabilitación integral los pilares para mejorar los resultados funcionales.</w:t>
            </w:r>
          </w:p>
          <w:p w14:paraId="474E995B" w14:textId="2D5E180B" w:rsidR="00735AEA" w:rsidRPr="00735AEA" w:rsidRDefault="007B22E1" w:rsidP="00735AEA">
            <w:pPr>
              <w:tabs>
                <w:tab w:val="left" w:pos="1140"/>
              </w:tabs>
              <w:jc w:val="both"/>
              <w:rPr>
                <w:rFonts w:asciiTheme="majorHAnsi" w:hAnsiTheme="majorHAnsi"/>
                <w:lang w:val="en-US"/>
              </w:rPr>
            </w:pPr>
            <w:r w:rsidRPr="00735AEA">
              <w:rPr>
                <w:rFonts w:asciiTheme="majorHAnsi" w:hAnsiTheme="majorHAnsi"/>
                <w:lang w:val="en-US"/>
              </w:rPr>
              <w:t>Abstract</w:t>
            </w:r>
            <w:r w:rsidR="00735AEA" w:rsidRPr="00735AEA">
              <w:rPr>
                <w:rFonts w:asciiTheme="majorHAnsi" w:hAnsiTheme="majorHAnsi"/>
                <w:lang w:val="en-US"/>
              </w:rPr>
              <w:t>: Spinal cord trauma (traumatic spinal cord injury, TSCI) is a critical condition in neurosurgery characterized by structural and functional damage to the spinal cord secondary to mechanical forces, leading to neurological consequences ranging from mild sensory deficits to complete paralysis. It represents a major cause of permanent disability with significant individual and socioeconomic impact.</w:t>
            </w:r>
          </w:p>
          <w:p w14:paraId="580C2D00" w14:textId="0DCD2BA0"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From an etiological perspective, the main causes include motor vehicle accidents, falls, and violence, predominantly affecting young individuals and polytrauma patients. The cervical region is most frequently involved, increasing the risk of respiratory compromise and mortality.</w:t>
            </w:r>
          </w:p>
          <w:p w14:paraId="084C39FD" w14:textId="130F537F"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Pathophysiology</w:t>
            </w:r>
          </w:p>
          <w:p w14:paraId="629971BA" w14:textId="33ACDD43"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 xml:space="preserve">The pathophysiology of TSCI is classically divided into primary and secondary injury. The primary injury occurs </w:t>
            </w:r>
            <w:proofErr w:type="gramStart"/>
            <w:r w:rsidRPr="00735AEA">
              <w:rPr>
                <w:rFonts w:asciiTheme="majorHAnsi" w:hAnsiTheme="majorHAnsi"/>
                <w:lang w:val="en-US"/>
              </w:rPr>
              <w:t>at the moment</w:t>
            </w:r>
            <w:proofErr w:type="gramEnd"/>
            <w:r w:rsidRPr="00735AEA">
              <w:rPr>
                <w:rFonts w:asciiTheme="majorHAnsi" w:hAnsiTheme="majorHAnsi"/>
                <w:lang w:val="en-US"/>
              </w:rPr>
              <w:t xml:space="preserve"> of trauma and includes compression, contusion, or laceration of neural tissue due to biomechanical forces. This initial damage is irreversible.</w:t>
            </w:r>
          </w:p>
          <w:p w14:paraId="4AF15E8A" w14:textId="09B13460"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Secondary injury consists of a progressive cascade of cellular and molecular events that exacerbate the initial damage. These include spinal cord ischemia, edema, glutamate-mediated excitotoxicity, inflammation, free radical formation, and ionic imbalance. These processes may evolve over hours to days, contributing to neuronal death and progressive demyelination.</w:t>
            </w:r>
          </w:p>
          <w:p w14:paraId="1B6745BC" w14:textId="6E3302F7"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Additionally, distinct temporal phases (immediate, acute, subacute, intermediate, and chronic) have been described, which help guide therapeutic interventions.</w:t>
            </w:r>
          </w:p>
          <w:p w14:paraId="4BB878D6" w14:textId="3605B17F"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Evaluation and Diagnosis</w:t>
            </w:r>
          </w:p>
          <w:p w14:paraId="52B07232" w14:textId="1377210B"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Diagnosis is based on systematic neurological examination (e.g., ASIA scale) and imaging studies. Computed tomography (CT) is the initial modality for identifying osseous injuries, while magnetic resonance imaging (MRI) is essential for assessing spinal cord involvement, ligamentous injury, and soft tissues, and plays a key role in prognosis.</w:t>
            </w:r>
          </w:p>
          <w:p w14:paraId="363CE623" w14:textId="5C3B568C"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Acute Management</w:t>
            </w:r>
          </w:p>
          <w:p w14:paraId="467EA046" w14:textId="37B42736"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 xml:space="preserve">Initial management follows advanced trauma life support principles, with emphasis on early spinal immobilization, maintenance of spinal cord perfusion, and prevention of secondary injury. Avoiding </w:t>
            </w:r>
            <w:r w:rsidRPr="00735AEA">
              <w:rPr>
                <w:rFonts w:asciiTheme="majorHAnsi" w:hAnsiTheme="majorHAnsi"/>
                <w:lang w:val="en-US"/>
              </w:rPr>
              <w:lastRenderedPageBreak/>
              <w:t>hypotension (systolic blood pressure &lt;90 mmHg) and maintaining adequate mean arterial pressure (85–90 mmHg) during the first days is associated with improved neurological outcomes.</w:t>
            </w:r>
          </w:p>
          <w:p w14:paraId="201B5753" w14:textId="6B74117F"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The use of corticosteroids remains controversial and is not considered a universal standard, although it may be considered in selected cases.</w:t>
            </w:r>
          </w:p>
          <w:p w14:paraId="000DA26C" w14:textId="5ED030C4"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Surgical Treatment</w:t>
            </w:r>
          </w:p>
          <w:p w14:paraId="351C1F56" w14:textId="73EBC42A"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In neurosurgery, early decompression and stabilization are fundamental. Current evidence suggests that early surgical intervention (ideally within the first 24 hours) may improve neurological outcomes by relieving spinal cord compression and limiting secondary injury mechanisms.</w:t>
            </w:r>
          </w:p>
          <w:p w14:paraId="5DB9886D" w14:textId="36D16DDA"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Indications include spinal instability, significant cord compression, and progressive neurological deterioration.</w:t>
            </w:r>
          </w:p>
          <w:p w14:paraId="556BAB54" w14:textId="1B7021EF"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Rehabilitation and Prognosis</w:t>
            </w:r>
          </w:p>
          <w:p w14:paraId="5E3082AF" w14:textId="37D28A38"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Prognosis depends on the level and severity of injury, with worse outcomes in complete lesions. Early rehabilitation is essential to optimize functional recovery, prevent complications (such as infections, thrombosis, and pressure ulcers), and facilitate social reintegration.</w:t>
            </w:r>
          </w:p>
          <w:p w14:paraId="0BC8584A" w14:textId="230D4942"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Current Perspectives</w:t>
            </w:r>
          </w:p>
          <w:p w14:paraId="4C4DB19A" w14:textId="4FC02452"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 xml:space="preserve">Ongoing research in neurosurgery focuses on neuroprotective and regenerative strategies, including pharmacological agents (e.g., </w:t>
            </w:r>
            <w:proofErr w:type="spellStart"/>
            <w:r w:rsidRPr="00735AEA">
              <w:rPr>
                <w:rFonts w:asciiTheme="majorHAnsi" w:hAnsiTheme="majorHAnsi"/>
                <w:lang w:val="en-US"/>
              </w:rPr>
              <w:t>riluzole</w:t>
            </w:r>
            <w:proofErr w:type="spellEnd"/>
            <w:r w:rsidRPr="00735AEA">
              <w:rPr>
                <w:rFonts w:asciiTheme="majorHAnsi" w:hAnsiTheme="majorHAnsi"/>
                <w:lang w:val="en-US"/>
              </w:rPr>
              <w:t>), cell-based therapies, and neuromodulation techniques, although these remain largely experimental.</w:t>
            </w:r>
          </w:p>
          <w:p w14:paraId="20945CE0" w14:textId="193E323C"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Conclusion</w:t>
            </w:r>
          </w:p>
          <w:p w14:paraId="39114F28" w14:textId="77777777" w:rsid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Spinal cord trauma is a complex neurosurgical emergency whose outcome depends on early, multidisciplinary management. Advances in understanding its pathophysiology have guided therapeutic strategies aimed at limiting secondary injury, with early intervention and comprehensive rehabilitation remaining the cornerstone for improving functional outcomes.</w:t>
            </w:r>
            <w:r w:rsidR="007B22E1" w:rsidRPr="00735AEA">
              <w:rPr>
                <w:rFonts w:asciiTheme="majorHAnsi" w:hAnsiTheme="majorHAnsi"/>
                <w:lang w:val="en-US"/>
              </w:rPr>
              <w:t xml:space="preserve">, </w:t>
            </w:r>
          </w:p>
          <w:p w14:paraId="2502D057" w14:textId="3FD0ADC6" w:rsidR="00735AEA" w:rsidRDefault="0096177E" w:rsidP="00735AEA">
            <w:pPr>
              <w:tabs>
                <w:tab w:val="left" w:pos="1140"/>
              </w:tabs>
              <w:jc w:val="both"/>
              <w:rPr>
                <w:rFonts w:asciiTheme="majorHAnsi" w:hAnsiTheme="majorHAnsi"/>
                <w:lang w:val="en-US"/>
              </w:rPr>
            </w:pPr>
            <w:proofErr w:type="spellStart"/>
            <w:r w:rsidRPr="0075650B">
              <w:rPr>
                <w:rFonts w:asciiTheme="majorHAnsi" w:hAnsiTheme="majorHAnsi"/>
                <w:lang w:val="en-US"/>
              </w:rPr>
              <w:t>Introducción</w:t>
            </w:r>
            <w:proofErr w:type="spellEnd"/>
            <w:r w:rsidR="00735AEA" w:rsidRPr="0075650B">
              <w:rPr>
                <w:rFonts w:asciiTheme="majorHAnsi" w:hAnsiTheme="majorHAnsi"/>
                <w:lang w:val="en-US"/>
              </w:rPr>
              <w:t xml:space="preserve">: </w:t>
            </w:r>
          </w:p>
          <w:p w14:paraId="64580B4C" w14:textId="197AB257" w:rsidR="0075650B" w:rsidRPr="0075650B" w:rsidRDefault="0075650B" w:rsidP="0075650B">
            <w:pPr>
              <w:tabs>
                <w:tab w:val="left" w:pos="1140"/>
              </w:tabs>
              <w:jc w:val="both"/>
              <w:rPr>
                <w:rFonts w:asciiTheme="majorHAnsi" w:hAnsiTheme="majorHAnsi"/>
              </w:rPr>
            </w:pPr>
            <w:r w:rsidRPr="0075650B">
              <w:rPr>
                <w:rFonts w:asciiTheme="majorHAnsi" w:hAnsiTheme="majorHAnsi"/>
              </w:rPr>
              <w:t>El trauma medular representa una de las urgencias más complejas en el ámbito de la neurocirugía, debido a su elevada morbimortalidad y al profundo impacto funcional que genera en los pacientes. Se define como una lesión estructural y funcional de la médula espinal secundaria a fuerzas mecánicas, que condiciona alteraciones motoras, sensitivas y autonómicas de diversa severidad, desde déficits parciales hasta parálisis completa. A nivel global, su incidencia se asocia principalmente a accidentes de tránsito, caídas y mecanismos de alta energía, afectando con mayor frecuencia a población joven y en edad productiva.</w:t>
            </w:r>
          </w:p>
          <w:p w14:paraId="0B846A95" w14:textId="131868A8" w:rsidR="0075650B" w:rsidRPr="0075650B" w:rsidRDefault="0075650B" w:rsidP="0075650B">
            <w:pPr>
              <w:tabs>
                <w:tab w:val="left" w:pos="1140"/>
              </w:tabs>
              <w:jc w:val="both"/>
              <w:rPr>
                <w:rFonts w:asciiTheme="majorHAnsi" w:hAnsiTheme="majorHAnsi"/>
              </w:rPr>
            </w:pPr>
            <w:r w:rsidRPr="0075650B">
              <w:rPr>
                <w:rFonts w:asciiTheme="majorHAnsi" w:hAnsiTheme="majorHAnsi"/>
              </w:rPr>
              <w:t>Desde el punto de vista fisiopatológico, el trauma medular se caracteriza por un daño inicial o lesión primaria, producido en el momento del impacto, seguido de una lesión secundaria mediada por una compleja cascada de eventos bioquímicos y celulares, incluyendo isquemia, inflamación, excitotoxicidad y estrés oxidativo. Esta progresión del daño constituye un elemento clave en el deterioro neurológico y representa un objetivo fundamental en las estrategias terapéuticas actuales.</w:t>
            </w:r>
          </w:p>
          <w:p w14:paraId="0B07492B" w14:textId="2A73BF96" w:rsidR="0075650B" w:rsidRPr="0075650B" w:rsidRDefault="0075650B" w:rsidP="0075650B">
            <w:pPr>
              <w:tabs>
                <w:tab w:val="left" w:pos="1140"/>
              </w:tabs>
              <w:jc w:val="both"/>
              <w:rPr>
                <w:rFonts w:asciiTheme="majorHAnsi" w:hAnsiTheme="majorHAnsi"/>
              </w:rPr>
            </w:pPr>
            <w:r w:rsidRPr="0075650B">
              <w:rPr>
                <w:rFonts w:asciiTheme="majorHAnsi" w:hAnsiTheme="majorHAnsi"/>
              </w:rPr>
              <w:t>El abordaje diagnóstico requiere una evaluación clínica sistematizada, apoyada en escalas como ASIA, así como en estudios de imagen, principalmente tomografía computarizada y resonancia magnética, que permiten determinar la extensión del daño medular y la estabilidad de la columna vertebral. En el manejo agudo, los principios fundamentales incluyen la inmovilización espinal temprana, el mantenimiento de una adecuada perfusión medular y la prevención de la lesión secundaria.</w:t>
            </w:r>
          </w:p>
          <w:p w14:paraId="49934D95" w14:textId="3589AD11" w:rsidR="0075650B" w:rsidRPr="0075650B" w:rsidRDefault="0075650B" w:rsidP="0075650B">
            <w:pPr>
              <w:tabs>
                <w:tab w:val="left" w:pos="1140"/>
              </w:tabs>
              <w:jc w:val="both"/>
              <w:rPr>
                <w:rFonts w:asciiTheme="majorHAnsi" w:hAnsiTheme="majorHAnsi"/>
              </w:rPr>
            </w:pPr>
            <w:r w:rsidRPr="0075650B">
              <w:rPr>
                <w:rFonts w:asciiTheme="majorHAnsi" w:hAnsiTheme="majorHAnsi"/>
              </w:rPr>
              <w:t>En este contexto, el tratamiento neuroquirúrgico, basado en la descompresión y estabilización precoz, ha demostrado ser un pilar esencial para mejorar el pronóstico neurológico, especialmente cuando se realiza en las primeras 24 horas. No obstante, a pesar de los avances en el manejo integral, el trauma medular continúa asociado a altas tasas de discapacidad, lo que resalta la importancia de la rehabilitación temprana y multidisciplinaria.</w:t>
            </w:r>
          </w:p>
          <w:p w14:paraId="08360E5F" w14:textId="33141B21" w:rsidR="0075650B" w:rsidRPr="0075650B" w:rsidRDefault="0075650B" w:rsidP="0075650B">
            <w:pPr>
              <w:tabs>
                <w:tab w:val="left" w:pos="1140"/>
              </w:tabs>
              <w:jc w:val="both"/>
              <w:rPr>
                <w:rFonts w:asciiTheme="majorHAnsi" w:hAnsiTheme="majorHAnsi"/>
              </w:rPr>
            </w:pPr>
            <w:r w:rsidRPr="0075650B">
              <w:rPr>
                <w:rFonts w:asciiTheme="majorHAnsi" w:hAnsiTheme="majorHAnsi"/>
              </w:rPr>
              <w:t>A continuación, se presenta un caso clínico que ilustra la complejidad diagnóstica y terapéutica del trauma medular, así como los retos actuales en su manejo dentro de la práctica neuroquirúrgica.</w:t>
            </w:r>
          </w:p>
          <w:p w14:paraId="60DAC769" w14:textId="22F12DE7" w:rsidR="0075650B" w:rsidRPr="0075650B" w:rsidRDefault="00735AEA" w:rsidP="00735AEA">
            <w:pPr>
              <w:tabs>
                <w:tab w:val="left" w:pos="1140"/>
              </w:tabs>
              <w:jc w:val="both"/>
              <w:rPr>
                <w:rFonts w:asciiTheme="majorHAnsi" w:hAnsiTheme="majorHAnsi"/>
                <w:lang w:val="en-US"/>
              </w:rPr>
            </w:pPr>
            <w:proofErr w:type="spellStart"/>
            <w:r w:rsidRPr="0075650B">
              <w:rPr>
                <w:rFonts w:asciiTheme="majorHAnsi" w:hAnsiTheme="majorHAnsi"/>
                <w:lang w:val="en-US"/>
              </w:rPr>
              <w:t>Reporte</w:t>
            </w:r>
            <w:proofErr w:type="spellEnd"/>
            <w:r w:rsidRPr="0075650B">
              <w:rPr>
                <w:rFonts w:asciiTheme="majorHAnsi" w:hAnsiTheme="majorHAnsi"/>
                <w:lang w:val="en-US"/>
              </w:rPr>
              <w:t xml:space="preserve"> de </w:t>
            </w:r>
            <w:proofErr w:type="spellStart"/>
            <w:r w:rsidRPr="0075650B">
              <w:rPr>
                <w:rFonts w:asciiTheme="majorHAnsi" w:hAnsiTheme="majorHAnsi"/>
                <w:lang w:val="en-US"/>
              </w:rPr>
              <w:t>caso</w:t>
            </w:r>
            <w:proofErr w:type="spellEnd"/>
          </w:p>
          <w:p w14:paraId="588F7D8E" w14:textId="26F01982" w:rsidR="00735AEA" w:rsidRPr="00735AEA" w:rsidRDefault="0096177E" w:rsidP="00735AEA">
            <w:pPr>
              <w:tabs>
                <w:tab w:val="left" w:pos="1140"/>
              </w:tabs>
              <w:jc w:val="both"/>
              <w:rPr>
                <w:rFonts w:asciiTheme="majorHAnsi" w:hAnsiTheme="majorHAnsi"/>
              </w:rPr>
            </w:pPr>
            <w:proofErr w:type="spellStart"/>
            <w:r w:rsidRPr="0075650B">
              <w:rPr>
                <w:rFonts w:asciiTheme="majorHAnsi" w:hAnsiTheme="majorHAnsi"/>
                <w:lang w:val="en-US"/>
              </w:rPr>
              <w:lastRenderedPageBreak/>
              <w:t>Bibliografía</w:t>
            </w:r>
            <w:proofErr w:type="spellEnd"/>
            <w:r w:rsidR="00735AEA" w:rsidRPr="0075650B">
              <w:rPr>
                <w:rFonts w:asciiTheme="majorHAnsi" w:hAnsiTheme="majorHAnsi"/>
                <w:lang w:val="en-US"/>
              </w:rPr>
              <w:t>:</w:t>
            </w:r>
            <w:r w:rsidR="00735AEA" w:rsidRPr="0075650B">
              <w:rPr>
                <w:lang w:val="en-US"/>
              </w:rPr>
              <w:t xml:space="preserve"> </w:t>
            </w:r>
            <w:r w:rsidR="00735AEA" w:rsidRPr="0075650B">
              <w:rPr>
                <w:rFonts w:asciiTheme="majorHAnsi" w:hAnsiTheme="majorHAnsi"/>
                <w:lang w:val="en-US"/>
              </w:rPr>
              <w:t xml:space="preserve">Lu, Y., Shang, Z., Zhang, W., Pang, M., Hu, X., Dai, Y., Shen, R., Wu, Y., Liu, C., Luo, T., Wang, X., Liu, B., Zhang, L., &amp; Rong, L. (2024). </w:t>
            </w:r>
            <w:r w:rsidR="00735AEA" w:rsidRPr="00735AEA">
              <w:rPr>
                <w:rFonts w:asciiTheme="majorHAnsi" w:hAnsiTheme="majorHAnsi"/>
                <w:lang w:val="en-US"/>
              </w:rPr>
              <w:t xml:space="preserve">Global incidence and characteristics of spinal cord injury since 2000–2021: A systematic review and meta-analysis. </w:t>
            </w:r>
            <w:r w:rsidR="00735AEA" w:rsidRPr="00735AEA">
              <w:rPr>
                <w:rFonts w:asciiTheme="majorHAnsi" w:hAnsiTheme="majorHAnsi"/>
              </w:rPr>
              <w:t>BMC Medicine, 22, 285. https://doi.org/10.1186/s12916-024-03514-9</w:t>
            </w:r>
          </w:p>
          <w:p w14:paraId="463AFCA7" w14:textId="640F595B"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rPr>
              <w:t xml:space="preserve">Florez-Perdomo, W. A., Guillermo, A. C. C., García-Ballestas, E., et al. </w:t>
            </w:r>
            <w:r w:rsidRPr="00735AEA">
              <w:rPr>
                <w:rFonts w:asciiTheme="majorHAnsi" w:hAnsiTheme="majorHAnsi"/>
                <w:lang w:val="en-US"/>
              </w:rPr>
              <w:t>(2024). Pathobiology of traumatic spinal cord injury: An overview. Egyptian Journal of Neurosurgery, 39, 27. https://doi.org/10.1186/s41984-024-00282-9</w:t>
            </w:r>
          </w:p>
          <w:p w14:paraId="4B142DAF" w14:textId="3BE3DCB0"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lang w:val="en-US"/>
              </w:rPr>
              <w:t xml:space="preserve">Kwon, W.-K., Ham, C.-H., Byun, J., Jeong, J. H., Ko, M. J., Lee, S., Lee, B.-J., &amp; Kim, J. H. (2024). Surgical and </w:t>
            </w:r>
            <w:proofErr w:type="spellStart"/>
            <w:r w:rsidRPr="00735AEA">
              <w:rPr>
                <w:rFonts w:asciiTheme="majorHAnsi" w:hAnsiTheme="majorHAnsi"/>
                <w:lang w:val="en-US"/>
              </w:rPr>
              <w:t>neurointensive</w:t>
            </w:r>
            <w:proofErr w:type="spellEnd"/>
            <w:r w:rsidRPr="00735AEA">
              <w:rPr>
                <w:rFonts w:asciiTheme="majorHAnsi" w:hAnsiTheme="majorHAnsi"/>
                <w:lang w:val="en-US"/>
              </w:rPr>
              <w:t xml:space="preserve"> management for acute spinal cord injury: A narrative review. Korean Journal of Neurotrauma, 20(4), 225–233. https://doi.org/10.13004/kjnt.2024.20.e44</w:t>
            </w:r>
          </w:p>
          <w:p w14:paraId="2FFA52A3" w14:textId="2F96239B" w:rsidR="00735AEA" w:rsidRPr="00735AEA" w:rsidRDefault="00735AEA" w:rsidP="00735AEA">
            <w:pPr>
              <w:tabs>
                <w:tab w:val="left" w:pos="1140"/>
              </w:tabs>
              <w:jc w:val="both"/>
              <w:rPr>
                <w:rFonts w:asciiTheme="majorHAnsi" w:hAnsiTheme="majorHAnsi"/>
                <w:lang w:val="en-US"/>
              </w:rPr>
            </w:pPr>
            <w:r w:rsidRPr="0075650B">
              <w:rPr>
                <w:rFonts w:asciiTheme="majorHAnsi" w:hAnsiTheme="majorHAnsi"/>
                <w:lang w:val="en-US"/>
              </w:rPr>
              <w:t xml:space="preserve">Moreno-González, E., &amp; Ibarra, A. (2025). </w:t>
            </w:r>
            <w:r w:rsidRPr="00735AEA">
              <w:rPr>
                <w:rFonts w:asciiTheme="majorHAnsi" w:hAnsiTheme="majorHAnsi"/>
                <w:lang w:val="en-US"/>
              </w:rPr>
              <w:t>The critical management of spinal cord injury: A narrative review. Clinics and Practice, 15(1), 2. https://doi.org/10.3390/clinpract15010002</w:t>
            </w:r>
          </w:p>
          <w:p w14:paraId="286335D2" w14:textId="2DE0B8B7" w:rsidR="00735AEA" w:rsidRPr="00735AEA" w:rsidRDefault="00735AEA" w:rsidP="00735AEA">
            <w:pPr>
              <w:tabs>
                <w:tab w:val="left" w:pos="1140"/>
              </w:tabs>
              <w:jc w:val="both"/>
              <w:rPr>
                <w:rFonts w:asciiTheme="majorHAnsi" w:hAnsiTheme="majorHAnsi"/>
                <w:lang w:val="en-US"/>
              </w:rPr>
            </w:pPr>
            <w:proofErr w:type="spellStart"/>
            <w:r w:rsidRPr="00735AEA">
              <w:rPr>
                <w:rFonts w:asciiTheme="majorHAnsi" w:hAnsiTheme="majorHAnsi"/>
                <w:lang w:val="en-US"/>
              </w:rPr>
              <w:t>Zarmer</w:t>
            </w:r>
            <w:proofErr w:type="spellEnd"/>
            <w:r w:rsidRPr="00735AEA">
              <w:rPr>
                <w:rFonts w:asciiTheme="majorHAnsi" w:hAnsiTheme="majorHAnsi"/>
                <w:lang w:val="en-US"/>
              </w:rPr>
              <w:t xml:space="preserve">, L., Khan, M., </w:t>
            </w:r>
            <w:proofErr w:type="spellStart"/>
            <w:r w:rsidRPr="00735AEA">
              <w:rPr>
                <w:rFonts w:asciiTheme="majorHAnsi" w:hAnsiTheme="majorHAnsi"/>
                <w:lang w:val="en-US"/>
              </w:rPr>
              <w:t>Islat</w:t>
            </w:r>
            <w:proofErr w:type="spellEnd"/>
            <w:r w:rsidRPr="00735AEA">
              <w:rPr>
                <w:rFonts w:asciiTheme="majorHAnsi" w:hAnsiTheme="majorHAnsi"/>
                <w:lang w:val="en-US"/>
              </w:rPr>
              <w:t xml:space="preserve">, G., </w:t>
            </w:r>
            <w:proofErr w:type="spellStart"/>
            <w:r w:rsidRPr="00735AEA">
              <w:rPr>
                <w:rFonts w:asciiTheme="majorHAnsi" w:hAnsiTheme="majorHAnsi"/>
                <w:lang w:val="en-US"/>
              </w:rPr>
              <w:t>Alameddin</w:t>
            </w:r>
            <w:proofErr w:type="spellEnd"/>
            <w:r w:rsidRPr="00735AEA">
              <w:rPr>
                <w:rFonts w:asciiTheme="majorHAnsi" w:hAnsiTheme="majorHAnsi"/>
                <w:lang w:val="en-US"/>
              </w:rPr>
              <w:t>, H., Massey, M., &amp; Chaudhry, R. (2025). Traumatic spinal cord injury: Review of the literature. Journal of Clinical Medicine, 14(11), 3649. https://doi.org/10.3390/jcm14113649</w:t>
            </w:r>
          </w:p>
          <w:p w14:paraId="09C833EB" w14:textId="211B224B" w:rsidR="00735AEA" w:rsidRPr="00735AEA" w:rsidRDefault="00735AEA" w:rsidP="00735AEA">
            <w:pPr>
              <w:tabs>
                <w:tab w:val="left" w:pos="1140"/>
              </w:tabs>
              <w:jc w:val="both"/>
              <w:rPr>
                <w:rFonts w:asciiTheme="majorHAnsi" w:hAnsiTheme="majorHAnsi"/>
                <w:lang w:val="en-US"/>
              </w:rPr>
            </w:pPr>
            <w:r w:rsidRPr="00735AEA">
              <w:rPr>
                <w:rFonts w:asciiTheme="majorHAnsi" w:hAnsiTheme="majorHAnsi"/>
              </w:rPr>
              <w:t xml:space="preserve">Zadra, A., Bruni, S., De Tanti, A., Saviola, D., Ciavarella, M., Cannavò, G., &amp; Bonavita, J. (2024). </w:t>
            </w:r>
            <w:r w:rsidRPr="00735AEA">
              <w:rPr>
                <w:rFonts w:asciiTheme="majorHAnsi" w:hAnsiTheme="majorHAnsi"/>
                <w:lang w:val="en-US"/>
              </w:rPr>
              <w:t>Life expectancy and long-term survival after traumatic spinal cord injury: A systematic review. European Journal of Physical and Rehabilitation Medicine, 60(5), 822–831. https://doi.org/10.23736/S1973-9087.24.08462-4</w:t>
            </w:r>
          </w:p>
          <w:p w14:paraId="300F6C2C" w14:textId="607C7BA9" w:rsidR="0096177E" w:rsidRPr="00735AEA" w:rsidRDefault="00735AEA" w:rsidP="00735AEA">
            <w:pPr>
              <w:tabs>
                <w:tab w:val="left" w:pos="1140"/>
              </w:tabs>
              <w:jc w:val="both"/>
              <w:rPr>
                <w:rFonts w:asciiTheme="majorHAnsi" w:hAnsiTheme="majorHAnsi"/>
              </w:rPr>
            </w:pPr>
            <w:r w:rsidRPr="00735AEA">
              <w:rPr>
                <w:rFonts w:asciiTheme="majorHAnsi" w:hAnsiTheme="majorHAnsi"/>
                <w:lang w:val="en-US"/>
              </w:rPr>
              <w:t xml:space="preserve">Nielsen, T. D., Laursen, T. M., Bech, B. H., et al. (2024). Traumatic spinal cord injury and its correlation to risk of autoimmune and inflammatory disease. </w:t>
            </w:r>
            <w:r w:rsidRPr="00735AEA">
              <w:rPr>
                <w:rFonts w:asciiTheme="majorHAnsi" w:hAnsiTheme="majorHAnsi"/>
              </w:rPr>
              <w:t>Spinal Cord, 62, 642–650. https://doi.org/10.1038/s41393-024-01026-0</w:t>
            </w:r>
          </w:p>
          <w:p w14:paraId="1C5BB37E" w14:textId="77777777" w:rsidR="002B1AD6" w:rsidRPr="00735AEA" w:rsidRDefault="002B1AD6" w:rsidP="00C31D20">
            <w:pPr>
              <w:tabs>
                <w:tab w:val="left" w:pos="1140"/>
              </w:tabs>
            </w:pPr>
          </w:p>
        </w:tc>
      </w:tr>
    </w:tbl>
    <w:p w14:paraId="2A77ED8D" w14:textId="77777777" w:rsidR="0096177E" w:rsidRPr="00735AEA" w:rsidRDefault="0096177E" w:rsidP="00C31D20">
      <w:pPr>
        <w:tabs>
          <w:tab w:val="left" w:pos="1140"/>
        </w:tabs>
      </w:pPr>
    </w:p>
    <w:p w14:paraId="55E10EE4" w14:textId="77777777" w:rsidR="00BE1E31" w:rsidRPr="00735AEA" w:rsidRDefault="00BE1E31" w:rsidP="00BE1E31">
      <w:pPr>
        <w:rPr>
          <w:rFonts w:asciiTheme="majorHAnsi" w:hAnsiTheme="majorHAnsi"/>
        </w:rPr>
      </w:pPr>
    </w:p>
    <w:p w14:paraId="7E5292FA" w14:textId="77777777" w:rsidR="00BE1E31" w:rsidRPr="00735AEA" w:rsidRDefault="00BE1E31" w:rsidP="00C31D20">
      <w:pPr>
        <w:tabs>
          <w:tab w:val="left" w:pos="1140"/>
        </w:tabs>
      </w:pPr>
    </w:p>
    <w:sectPr w:rsidR="00BE1E31" w:rsidRPr="00735A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Franklin Gothic Demi Cond">
    <w:altName w:val="Arial Bold"/>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C0F80"/>
    <w:multiLevelType w:val="hybridMultilevel"/>
    <w:tmpl w:val="31A86BDA"/>
    <w:lvl w:ilvl="0" w:tplc="55F0371A">
      <w:numFmt w:val="bullet"/>
      <w:lvlText w:val="-"/>
      <w:lvlJc w:val="left"/>
      <w:pPr>
        <w:ind w:left="720" w:hanging="360"/>
      </w:pPr>
      <w:rPr>
        <w:rFonts w:ascii="Calibri" w:eastAsiaTheme="minorHAnsi" w:hAnsi="Calibri" w:cstheme="minorBidi" w:hint="default"/>
        <w:b/>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087837"/>
    <w:multiLevelType w:val="hybridMultilevel"/>
    <w:tmpl w:val="236657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429076">
    <w:abstractNumId w:val="0"/>
  </w:num>
  <w:num w:numId="2" w16cid:durableId="92245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20"/>
    <w:rsid w:val="0000594A"/>
    <w:rsid w:val="000111AF"/>
    <w:rsid w:val="00031159"/>
    <w:rsid w:val="000418B7"/>
    <w:rsid w:val="001E4EFA"/>
    <w:rsid w:val="002249AF"/>
    <w:rsid w:val="002B1AD6"/>
    <w:rsid w:val="00495A1B"/>
    <w:rsid w:val="004C2BFB"/>
    <w:rsid w:val="00547CFC"/>
    <w:rsid w:val="006D1C8D"/>
    <w:rsid w:val="00735AEA"/>
    <w:rsid w:val="0075650B"/>
    <w:rsid w:val="007B22E1"/>
    <w:rsid w:val="007D153E"/>
    <w:rsid w:val="008925AB"/>
    <w:rsid w:val="0096177E"/>
    <w:rsid w:val="00985772"/>
    <w:rsid w:val="00B313A0"/>
    <w:rsid w:val="00B67CF1"/>
    <w:rsid w:val="00BE1E31"/>
    <w:rsid w:val="00C31D20"/>
    <w:rsid w:val="00C4601D"/>
    <w:rsid w:val="00DC46CD"/>
    <w:rsid w:val="00E12DA2"/>
    <w:rsid w:val="00F6688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A773A"/>
  <w15:docId w15:val="{85840F5A-AA3A-554D-A447-4C08BD9D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31D20"/>
    <w:rPr>
      <w:color w:val="0000FF"/>
      <w:u w:val="single"/>
    </w:rPr>
  </w:style>
  <w:style w:type="paragraph" w:styleId="Prrafodelista">
    <w:name w:val="List Paragraph"/>
    <w:basedOn w:val="Normal"/>
    <w:uiPriority w:val="34"/>
    <w:qFormat/>
    <w:rsid w:val="00C31D20"/>
    <w:pPr>
      <w:ind w:left="720"/>
      <w:contextualSpacing/>
    </w:pPr>
  </w:style>
  <w:style w:type="table" w:styleId="Tablaconcuadrcula">
    <w:name w:val="Table Grid"/>
    <w:basedOn w:val="Tablanormal"/>
    <w:uiPriority w:val="39"/>
    <w:rsid w:val="0096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E4EF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4EFA"/>
    <w:rPr>
      <w:rFonts w:ascii="Lucida Grande" w:hAnsi="Lucida Grande" w:cs="Lucida Grande"/>
      <w:sz w:val="18"/>
      <w:szCs w:val="18"/>
    </w:rPr>
  </w:style>
  <w:style w:type="character" w:styleId="Mencinsinresolver">
    <w:name w:val="Unresolved Mention"/>
    <w:basedOn w:val="Fuentedeprrafopredeter"/>
    <w:uiPriority w:val="99"/>
    <w:semiHidden/>
    <w:unhideWhenUsed/>
    <w:rsid w:val="002B1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131715">
      <w:bodyDiv w:val="1"/>
      <w:marLeft w:val="0"/>
      <w:marRight w:val="0"/>
      <w:marTop w:val="0"/>
      <w:marBottom w:val="0"/>
      <w:divBdr>
        <w:top w:val="none" w:sz="0" w:space="0" w:color="auto"/>
        <w:left w:val="none" w:sz="0" w:space="0" w:color="auto"/>
        <w:bottom w:val="none" w:sz="0" w:space="0" w:color="auto"/>
        <w:right w:val="none" w:sz="0" w:space="0" w:color="auto"/>
      </w:divBdr>
    </w:div>
    <w:div w:id="655382445">
      <w:bodyDiv w:val="1"/>
      <w:marLeft w:val="0"/>
      <w:marRight w:val="0"/>
      <w:marTop w:val="0"/>
      <w:marBottom w:val="0"/>
      <w:divBdr>
        <w:top w:val="none" w:sz="0" w:space="0" w:color="auto"/>
        <w:left w:val="none" w:sz="0" w:space="0" w:color="auto"/>
        <w:bottom w:val="none" w:sz="0" w:space="0" w:color="auto"/>
        <w:right w:val="none" w:sz="0" w:space="0" w:color="auto"/>
      </w:divBdr>
    </w:div>
    <w:div w:id="1618566589">
      <w:bodyDiv w:val="1"/>
      <w:marLeft w:val="0"/>
      <w:marRight w:val="0"/>
      <w:marTop w:val="0"/>
      <w:marBottom w:val="0"/>
      <w:divBdr>
        <w:top w:val="none" w:sz="0" w:space="0" w:color="auto"/>
        <w:left w:val="none" w:sz="0" w:space="0" w:color="auto"/>
        <w:bottom w:val="none" w:sz="0" w:space="0" w:color="auto"/>
        <w:right w:val="none" w:sz="0" w:space="0" w:color="auto"/>
      </w:divBdr>
    </w:div>
    <w:div w:id="174125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o.wh92@gmail.com" TargetMode="External"/><Relationship Id="rId3" Type="http://schemas.openxmlformats.org/officeDocument/2006/relationships/settings" Target="settings.xml"/><Relationship Id="rId7" Type="http://schemas.openxmlformats.org/officeDocument/2006/relationships/hyperlink" Target="mailto:sandra.sostdo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opicoselectosneurocirugia@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byto-0703@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2112</Words>
  <Characters>11619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Yarel Alejandra</dc:creator>
  <cp:keywords/>
  <dc:description/>
  <cp:lastModifiedBy>Ivan Oso Alanís Mendoza</cp:lastModifiedBy>
  <cp:revision>2</cp:revision>
  <dcterms:created xsi:type="dcterms:W3CDTF">2026-04-30T18:34:00Z</dcterms:created>
  <dcterms:modified xsi:type="dcterms:W3CDTF">2026-04-30T18:34:00Z</dcterms:modified>
</cp:coreProperties>
</file>